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581B" w14:textId="24A3F412" w:rsidR="00540F88" w:rsidRDefault="00B96E7A" w:rsidP="009B0482">
      <w:bookmarkStart w:id="0" w:name="_Hlk6990833"/>
      <w:bookmarkStart w:id="1" w:name="_GoBack"/>
      <w:bookmarkEnd w:id="0"/>
      <w:bookmarkEnd w:id="1"/>
      <w:r>
        <w:rPr>
          <w:b/>
          <w:noProof/>
          <w:sz w:val="28"/>
          <w:szCs w:val="28"/>
          <w:lang w:val="en-GB" w:eastAsia="en-GB"/>
        </w:rPr>
        <w:drawing>
          <wp:anchor distT="0" distB="0" distL="114300" distR="114300" simplePos="0" relativeHeight="251659264" behindDoc="0" locked="0" layoutInCell="1" allowOverlap="1" wp14:anchorId="52238A96" wp14:editId="35619FC6">
            <wp:simplePos x="0" y="0"/>
            <wp:positionH relativeFrom="column">
              <wp:posOffset>3399693</wp:posOffset>
            </wp:positionH>
            <wp:positionV relativeFrom="page">
              <wp:posOffset>597877</wp:posOffset>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05902506" w14:textId="77777777" w:rsidR="00235F28" w:rsidRDefault="00235F28" w:rsidP="009B0482"/>
    <w:p w14:paraId="3BF0FA49" w14:textId="114C7BB4" w:rsidR="00235F28" w:rsidRDefault="00375F05" w:rsidP="001A3FBD">
      <w:pPr>
        <w:spacing w:line="276" w:lineRule="auto"/>
        <w:jc w:val="center"/>
        <w:rPr>
          <w:b/>
          <w:sz w:val="28"/>
          <w:szCs w:val="28"/>
        </w:rPr>
      </w:pPr>
      <w:r>
        <w:rPr>
          <w:b/>
          <w:sz w:val="28"/>
          <w:szCs w:val="28"/>
        </w:rPr>
        <w:t>Derivatives Service Bureau</w:t>
      </w:r>
    </w:p>
    <w:p w14:paraId="3E326828" w14:textId="77777777" w:rsidR="00BB3748" w:rsidRPr="000030C3" w:rsidRDefault="00BB3748" w:rsidP="001A3FBD">
      <w:pPr>
        <w:spacing w:line="276" w:lineRule="auto"/>
        <w:jc w:val="center"/>
        <w:rPr>
          <w:b/>
          <w:sz w:val="28"/>
          <w:szCs w:val="28"/>
        </w:rPr>
      </w:pPr>
    </w:p>
    <w:p w14:paraId="57513426" w14:textId="062BF800" w:rsidR="00FA12DF" w:rsidRPr="004965E9" w:rsidRDefault="00BB3748" w:rsidP="004965E9">
      <w:pPr>
        <w:jc w:val="center"/>
        <w:rPr>
          <w:rFonts w:ascii="Ruda" w:hAnsi="Ruda"/>
          <w:b/>
          <w:sz w:val="44"/>
          <w:szCs w:val="38"/>
        </w:rPr>
      </w:pPr>
      <w:bookmarkStart w:id="2" w:name="_Toc7171254"/>
      <w:r w:rsidRPr="004965E9">
        <w:rPr>
          <w:b/>
          <w:sz w:val="32"/>
        </w:rPr>
        <w:t>2020 Consultation</w:t>
      </w:r>
      <w:bookmarkEnd w:id="2"/>
    </w:p>
    <w:p w14:paraId="42B24086" w14:textId="77777777" w:rsidR="00373638" w:rsidRDefault="00373638" w:rsidP="001A3FBD">
      <w:pPr>
        <w:spacing w:line="276" w:lineRule="auto"/>
        <w:jc w:val="center"/>
        <w:rPr>
          <w:sz w:val="28"/>
          <w:szCs w:val="28"/>
        </w:rPr>
      </w:pPr>
    </w:p>
    <w:p w14:paraId="2650BA2D" w14:textId="05EF2033" w:rsidR="000030C3" w:rsidRPr="00373638" w:rsidRDefault="00D055BE" w:rsidP="001A3FBD">
      <w:pPr>
        <w:spacing w:line="276" w:lineRule="auto"/>
        <w:jc w:val="center"/>
        <w:rPr>
          <w:sz w:val="28"/>
          <w:szCs w:val="28"/>
          <w:u w:val="single"/>
        </w:rPr>
      </w:pPr>
      <w:r>
        <w:rPr>
          <w:sz w:val="28"/>
          <w:szCs w:val="28"/>
          <w:u w:val="single"/>
        </w:rPr>
        <w:t>Industry Consultation Paper 1</w:t>
      </w:r>
    </w:p>
    <w:p w14:paraId="795CEC19" w14:textId="3CF99640" w:rsidR="00373638" w:rsidRDefault="00373638" w:rsidP="001A3FBD">
      <w:pPr>
        <w:spacing w:line="276" w:lineRule="auto"/>
        <w:jc w:val="center"/>
        <w:rPr>
          <w:sz w:val="28"/>
          <w:szCs w:val="28"/>
        </w:rPr>
      </w:pPr>
    </w:p>
    <w:p w14:paraId="633462A6" w14:textId="1A5FEE56" w:rsidR="00373638" w:rsidRDefault="00373638" w:rsidP="001A3FBD">
      <w:pPr>
        <w:spacing w:line="276" w:lineRule="auto"/>
        <w:jc w:val="center"/>
      </w:pPr>
    </w:p>
    <w:p w14:paraId="23D40DE8" w14:textId="1444CAFF" w:rsidR="00540F88" w:rsidRDefault="00B27ADD" w:rsidP="001A3FBD">
      <w:pPr>
        <w:spacing w:line="276" w:lineRule="auto"/>
        <w:jc w:val="center"/>
      </w:pPr>
      <w:r>
        <w:t>Published 9</w:t>
      </w:r>
      <w:r w:rsidRPr="00B27ADD">
        <w:rPr>
          <w:vertAlign w:val="superscript"/>
        </w:rPr>
        <w:t>th</w:t>
      </w:r>
      <w:r>
        <w:t xml:space="preserve"> </w:t>
      </w:r>
      <w:r w:rsidR="00D055BE">
        <w:t>May 2019</w:t>
      </w:r>
    </w:p>
    <w:p w14:paraId="5CF05F85" w14:textId="25336503" w:rsidR="009243A8" w:rsidRDefault="00163718" w:rsidP="001A3FBD">
      <w:pPr>
        <w:spacing w:line="276" w:lineRule="auto"/>
      </w:pPr>
      <w:r w:rsidRPr="00296864">
        <w:rPr>
          <w:noProof/>
          <w:u w:val="single"/>
          <w:lang w:val="en-GB"/>
        </w:rPr>
        <mc:AlternateContent>
          <mc:Choice Requires="wps">
            <w:drawing>
              <wp:anchor distT="0" distB="0" distL="114300" distR="114300" simplePos="0" relativeHeight="251655680" behindDoc="0" locked="0" layoutInCell="1" allowOverlap="1" wp14:anchorId="7548DBAC" wp14:editId="5023081C">
                <wp:simplePos x="0" y="0"/>
                <wp:positionH relativeFrom="margin">
                  <wp:posOffset>1549400</wp:posOffset>
                </wp:positionH>
                <wp:positionV relativeFrom="paragraph">
                  <wp:posOffset>353164</wp:posOffset>
                </wp:positionV>
                <wp:extent cx="4248150" cy="3101975"/>
                <wp:effectExtent l="438150" t="876300" r="419100" b="879475"/>
                <wp:wrapNone/>
                <wp:docPr id="1" name="Text Box 1"/>
                <wp:cNvGraphicFramePr/>
                <a:graphic xmlns:a="http://schemas.openxmlformats.org/drawingml/2006/main">
                  <a:graphicData uri="http://schemas.microsoft.com/office/word/2010/wordprocessingShape">
                    <wps:wsp>
                      <wps:cNvSpPr txBox="1"/>
                      <wps:spPr>
                        <a:xfrm rot="19542728">
                          <a:off x="0" y="0"/>
                          <a:ext cx="4248150" cy="3101975"/>
                        </a:xfrm>
                        <a:prstGeom prst="rect">
                          <a:avLst/>
                        </a:prstGeom>
                        <a:noFill/>
                        <a:ln>
                          <a:noFill/>
                        </a:ln>
                      </wps:spPr>
                      <wps:txbx>
                        <w:txbxContent>
                          <w:p w14:paraId="27A8E48A" w14:textId="77777777" w:rsidR="00004DB5" w:rsidRDefault="00004DB5" w:rsidP="000C74E9">
                            <w:pPr>
                              <w:pStyle w:val="NoSpacing"/>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8DBAC" id="_x0000_t202" coordsize="21600,21600" o:spt="202" path="m,l,21600r21600,l21600,xe">
                <v:stroke joinstyle="miter"/>
                <v:path gradientshapeok="t" o:connecttype="rect"/>
              </v:shapetype>
              <v:shape id="Text Box 1" o:spid="_x0000_s1026" type="#_x0000_t202" style="position:absolute;margin-left:122pt;margin-top:27.8pt;width:334.5pt;height:244.25pt;rotation:-2247090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" filled="f" stroked="f">
                <v:textbox>
                  <w:txbxContent>
                    <w:p w14:paraId="27A8E48A" w14:textId="77777777" w:rsidR="00004DB5" w:rsidRDefault="00004DB5" w:rsidP="000C74E9">
                      <w:pPr>
                        <w:pStyle w:val="NoSpacing"/>
                        <w:rPr>
                          <w:lang w:val="en-GB"/>
                        </w:rPr>
                      </w:pPr>
                    </w:p>
                  </w:txbxContent>
                </v:textbox>
                <w10:wrap anchorx="margin"/>
              </v:shape>
            </w:pict>
          </mc:Fallback>
        </mc:AlternateContent>
      </w:r>
      <w:r w:rsidR="009243A8">
        <w:br w:type="page"/>
      </w:r>
    </w:p>
    <w:bookmarkStart w:id="3" w:name="_Toc7171255" w:displacedByCustomXml="next"/>
    <w:sdt>
      <w:sdtPr>
        <w:rPr>
          <w:rFonts w:asciiTheme="minorHAnsi" w:eastAsiaTheme="minorHAnsi" w:hAnsiTheme="minorHAnsi" w:cstheme="minorBidi"/>
          <w:color w:val="auto"/>
          <w:sz w:val="22"/>
          <w:szCs w:val="22"/>
        </w:rPr>
        <w:id w:val="-1369838810"/>
        <w:docPartObj>
          <w:docPartGallery w:val="Table of Contents"/>
          <w:docPartUnique/>
        </w:docPartObj>
      </w:sdtPr>
      <w:sdtEndPr>
        <w:rPr>
          <w:b/>
          <w:bCs/>
          <w:noProof/>
        </w:rPr>
      </w:sdtEndPr>
      <w:sdtContent>
        <w:p w14:paraId="795F4E59" w14:textId="773F6C5C" w:rsidR="004965E9" w:rsidRDefault="004965E9">
          <w:pPr>
            <w:pStyle w:val="TOCHeading"/>
          </w:pPr>
          <w:r>
            <w:t>Contents</w:t>
          </w:r>
        </w:p>
        <w:p w14:paraId="27A24B85" w14:textId="4C1C6781" w:rsidR="00D523A5" w:rsidRDefault="004965E9">
          <w:pPr>
            <w:pStyle w:val="TOC1"/>
            <w:tabs>
              <w:tab w:val="right" w:leader="dot" w:pos="9736"/>
            </w:tabs>
            <w:rPr>
              <w:rFonts w:eastAsiaTheme="minorEastAsia"/>
              <w:noProof/>
              <w:lang w:eastAsia="en-GB"/>
            </w:rPr>
          </w:pPr>
          <w:r>
            <w:fldChar w:fldCharType="begin"/>
          </w:r>
          <w:r>
            <w:instrText xml:space="preserve"> TOC \o "1-3" \h \z \u </w:instrText>
          </w:r>
          <w:r>
            <w:fldChar w:fldCharType="separate"/>
          </w:r>
          <w:hyperlink w:anchor="_Toc8250276" w:history="1">
            <w:r w:rsidR="00D523A5" w:rsidRPr="000D68F6">
              <w:rPr>
                <w:rStyle w:val="Hyperlink"/>
                <w:noProof/>
              </w:rPr>
              <w:t>Executive Summary</w:t>
            </w:r>
            <w:r w:rsidR="00D523A5">
              <w:rPr>
                <w:noProof/>
                <w:webHidden/>
              </w:rPr>
              <w:tab/>
            </w:r>
            <w:r w:rsidR="00D523A5">
              <w:rPr>
                <w:noProof/>
                <w:webHidden/>
              </w:rPr>
              <w:fldChar w:fldCharType="begin"/>
            </w:r>
            <w:r w:rsidR="00D523A5">
              <w:rPr>
                <w:noProof/>
                <w:webHidden/>
              </w:rPr>
              <w:instrText xml:space="preserve"> PAGEREF _Toc8250276 \h </w:instrText>
            </w:r>
            <w:r w:rsidR="00D523A5">
              <w:rPr>
                <w:noProof/>
                <w:webHidden/>
              </w:rPr>
            </w:r>
            <w:r w:rsidR="00D523A5">
              <w:rPr>
                <w:noProof/>
                <w:webHidden/>
              </w:rPr>
              <w:fldChar w:fldCharType="separate"/>
            </w:r>
            <w:r w:rsidR="00D523A5">
              <w:rPr>
                <w:noProof/>
                <w:webHidden/>
              </w:rPr>
              <w:t>3</w:t>
            </w:r>
            <w:r w:rsidR="00D523A5">
              <w:rPr>
                <w:noProof/>
                <w:webHidden/>
              </w:rPr>
              <w:fldChar w:fldCharType="end"/>
            </w:r>
          </w:hyperlink>
        </w:p>
        <w:p w14:paraId="1837EEBB" w14:textId="36E6C8BA" w:rsidR="00D523A5" w:rsidRDefault="003218B7">
          <w:pPr>
            <w:pStyle w:val="TOC1"/>
            <w:tabs>
              <w:tab w:val="right" w:leader="dot" w:pos="9736"/>
            </w:tabs>
            <w:rPr>
              <w:rFonts w:eastAsiaTheme="minorEastAsia"/>
              <w:noProof/>
              <w:lang w:eastAsia="en-GB"/>
            </w:rPr>
          </w:pPr>
          <w:hyperlink w:anchor="_Toc8250277" w:history="1">
            <w:r w:rsidR="00D523A5" w:rsidRPr="000D68F6">
              <w:rPr>
                <w:rStyle w:val="Hyperlink"/>
                <w:noProof/>
              </w:rPr>
              <w:t>Respondent Details</w:t>
            </w:r>
            <w:r w:rsidR="00D523A5">
              <w:rPr>
                <w:noProof/>
                <w:webHidden/>
              </w:rPr>
              <w:tab/>
            </w:r>
            <w:r w:rsidR="00D523A5">
              <w:rPr>
                <w:noProof/>
                <w:webHidden/>
              </w:rPr>
              <w:fldChar w:fldCharType="begin"/>
            </w:r>
            <w:r w:rsidR="00D523A5">
              <w:rPr>
                <w:noProof/>
                <w:webHidden/>
              </w:rPr>
              <w:instrText xml:space="preserve"> PAGEREF _Toc8250277 \h </w:instrText>
            </w:r>
            <w:r w:rsidR="00D523A5">
              <w:rPr>
                <w:noProof/>
                <w:webHidden/>
              </w:rPr>
            </w:r>
            <w:r w:rsidR="00D523A5">
              <w:rPr>
                <w:noProof/>
                <w:webHidden/>
              </w:rPr>
              <w:fldChar w:fldCharType="separate"/>
            </w:r>
            <w:r w:rsidR="00D523A5">
              <w:rPr>
                <w:noProof/>
                <w:webHidden/>
              </w:rPr>
              <w:t>3</w:t>
            </w:r>
            <w:r w:rsidR="00D523A5">
              <w:rPr>
                <w:noProof/>
                <w:webHidden/>
              </w:rPr>
              <w:fldChar w:fldCharType="end"/>
            </w:r>
          </w:hyperlink>
        </w:p>
        <w:p w14:paraId="34CE455D" w14:textId="6A5A1FF8" w:rsidR="00D523A5" w:rsidRDefault="003218B7">
          <w:pPr>
            <w:pStyle w:val="TOC1"/>
            <w:tabs>
              <w:tab w:val="right" w:leader="dot" w:pos="9736"/>
            </w:tabs>
            <w:rPr>
              <w:rFonts w:eastAsiaTheme="minorEastAsia"/>
              <w:noProof/>
              <w:lang w:eastAsia="en-GB"/>
            </w:rPr>
          </w:pPr>
          <w:hyperlink w:anchor="_Toc8250278" w:history="1">
            <w:r w:rsidR="00D523A5" w:rsidRPr="000D68F6">
              <w:rPr>
                <w:rStyle w:val="Hyperlink"/>
                <w:noProof/>
              </w:rPr>
              <w:t>Consultation Timeline</w:t>
            </w:r>
            <w:r w:rsidR="00D523A5">
              <w:rPr>
                <w:noProof/>
                <w:webHidden/>
              </w:rPr>
              <w:tab/>
            </w:r>
            <w:r w:rsidR="00D523A5">
              <w:rPr>
                <w:noProof/>
                <w:webHidden/>
              </w:rPr>
              <w:fldChar w:fldCharType="begin"/>
            </w:r>
            <w:r w:rsidR="00D523A5">
              <w:rPr>
                <w:noProof/>
                <w:webHidden/>
              </w:rPr>
              <w:instrText xml:space="preserve"> PAGEREF _Toc8250278 \h </w:instrText>
            </w:r>
            <w:r w:rsidR="00D523A5">
              <w:rPr>
                <w:noProof/>
                <w:webHidden/>
              </w:rPr>
            </w:r>
            <w:r w:rsidR="00D523A5">
              <w:rPr>
                <w:noProof/>
                <w:webHidden/>
              </w:rPr>
              <w:fldChar w:fldCharType="separate"/>
            </w:r>
            <w:r w:rsidR="00D523A5">
              <w:rPr>
                <w:noProof/>
                <w:webHidden/>
              </w:rPr>
              <w:t>4</w:t>
            </w:r>
            <w:r w:rsidR="00D523A5">
              <w:rPr>
                <w:noProof/>
                <w:webHidden/>
              </w:rPr>
              <w:fldChar w:fldCharType="end"/>
            </w:r>
          </w:hyperlink>
        </w:p>
        <w:p w14:paraId="6847DAEC" w14:textId="012154DB" w:rsidR="00D523A5" w:rsidRDefault="003218B7">
          <w:pPr>
            <w:pStyle w:val="TOC1"/>
            <w:tabs>
              <w:tab w:val="right" w:leader="dot" w:pos="9736"/>
            </w:tabs>
            <w:rPr>
              <w:rFonts w:eastAsiaTheme="minorEastAsia"/>
              <w:noProof/>
              <w:lang w:eastAsia="en-GB"/>
            </w:rPr>
          </w:pPr>
          <w:hyperlink w:anchor="_Toc8250279" w:history="1">
            <w:r w:rsidR="00D523A5" w:rsidRPr="000D68F6">
              <w:rPr>
                <w:rStyle w:val="Hyperlink"/>
                <w:noProof/>
              </w:rPr>
              <w:t>Principles</w:t>
            </w:r>
            <w:r w:rsidR="00D523A5">
              <w:rPr>
                <w:noProof/>
                <w:webHidden/>
              </w:rPr>
              <w:tab/>
            </w:r>
            <w:r w:rsidR="00D523A5">
              <w:rPr>
                <w:noProof/>
                <w:webHidden/>
              </w:rPr>
              <w:fldChar w:fldCharType="begin"/>
            </w:r>
            <w:r w:rsidR="00D523A5">
              <w:rPr>
                <w:noProof/>
                <w:webHidden/>
              </w:rPr>
              <w:instrText xml:space="preserve"> PAGEREF _Toc8250279 \h </w:instrText>
            </w:r>
            <w:r w:rsidR="00D523A5">
              <w:rPr>
                <w:noProof/>
                <w:webHidden/>
              </w:rPr>
            </w:r>
            <w:r w:rsidR="00D523A5">
              <w:rPr>
                <w:noProof/>
                <w:webHidden/>
              </w:rPr>
              <w:fldChar w:fldCharType="separate"/>
            </w:r>
            <w:r w:rsidR="00D523A5">
              <w:rPr>
                <w:noProof/>
                <w:webHidden/>
              </w:rPr>
              <w:t>5</w:t>
            </w:r>
            <w:r w:rsidR="00D523A5">
              <w:rPr>
                <w:noProof/>
                <w:webHidden/>
              </w:rPr>
              <w:fldChar w:fldCharType="end"/>
            </w:r>
          </w:hyperlink>
        </w:p>
        <w:p w14:paraId="27A67D48" w14:textId="621519A2" w:rsidR="00D523A5" w:rsidRDefault="003218B7">
          <w:pPr>
            <w:pStyle w:val="TOC1"/>
            <w:tabs>
              <w:tab w:val="right" w:leader="dot" w:pos="9736"/>
            </w:tabs>
            <w:rPr>
              <w:rFonts w:eastAsiaTheme="minorEastAsia"/>
              <w:noProof/>
              <w:lang w:eastAsia="en-GB"/>
            </w:rPr>
          </w:pPr>
          <w:hyperlink w:anchor="_Toc8250280" w:history="1">
            <w:r w:rsidR="00D523A5" w:rsidRPr="000D68F6">
              <w:rPr>
                <w:rStyle w:val="Hyperlink"/>
                <w:noProof/>
              </w:rPr>
              <w:t>Utilization of the DSB</w:t>
            </w:r>
            <w:r w:rsidR="00D523A5">
              <w:rPr>
                <w:noProof/>
                <w:webHidden/>
              </w:rPr>
              <w:tab/>
            </w:r>
            <w:r w:rsidR="00D523A5">
              <w:rPr>
                <w:noProof/>
                <w:webHidden/>
              </w:rPr>
              <w:fldChar w:fldCharType="begin"/>
            </w:r>
            <w:r w:rsidR="00D523A5">
              <w:rPr>
                <w:noProof/>
                <w:webHidden/>
              </w:rPr>
              <w:instrText xml:space="preserve"> PAGEREF _Toc8250280 \h </w:instrText>
            </w:r>
            <w:r w:rsidR="00D523A5">
              <w:rPr>
                <w:noProof/>
                <w:webHidden/>
              </w:rPr>
            </w:r>
            <w:r w:rsidR="00D523A5">
              <w:rPr>
                <w:noProof/>
                <w:webHidden/>
              </w:rPr>
              <w:fldChar w:fldCharType="separate"/>
            </w:r>
            <w:r w:rsidR="00D523A5">
              <w:rPr>
                <w:noProof/>
                <w:webHidden/>
              </w:rPr>
              <w:t>6</w:t>
            </w:r>
            <w:r w:rsidR="00D523A5">
              <w:rPr>
                <w:noProof/>
                <w:webHidden/>
              </w:rPr>
              <w:fldChar w:fldCharType="end"/>
            </w:r>
          </w:hyperlink>
        </w:p>
        <w:p w14:paraId="3920FC10" w14:textId="4F3C894D" w:rsidR="00D523A5" w:rsidRDefault="003218B7">
          <w:pPr>
            <w:pStyle w:val="TOC1"/>
            <w:tabs>
              <w:tab w:val="right" w:leader="dot" w:pos="9736"/>
            </w:tabs>
            <w:rPr>
              <w:rFonts w:eastAsiaTheme="minorEastAsia"/>
              <w:noProof/>
              <w:lang w:eastAsia="en-GB"/>
            </w:rPr>
          </w:pPr>
          <w:hyperlink w:anchor="_Toc8250281" w:history="1">
            <w:r w:rsidR="00D523A5" w:rsidRPr="000D68F6">
              <w:rPr>
                <w:rStyle w:val="Hyperlink"/>
                <w:noProof/>
              </w:rPr>
              <w:t>Consultation Questions</w:t>
            </w:r>
            <w:r w:rsidR="00D523A5">
              <w:rPr>
                <w:noProof/>
                <w:webHidden/>
              </w:rPr>
              <w:tab/>
            </w:r>
            <w:r w:rsidR="00D523A5">
              <w:rPr>
                <w:noProof/>
                <w:webHidden/>
              </w:rPr>
              <w:fldChar w:fldCharType="begin"/>
            </w:r>
            <w:r w:rsidR="00D523A5">
              <w:rPr>
                <w:noProof/>
                <w:webHidden/>
              </w:rPr>
              <w:instrText xml:space="preserve"> PAGEREF _Toc8250281 \h </w:instrText>
            </w:r>
            <w:r w:rsidR="00D523A5">
              <w:rPr>
                <w:noProof/>
                <w:webHidden/>
              </w:rPr>
            </w:r>
            <w:r w:rsidR="00D523A5">
              <w:rPr>
                <w:noProof/>
                <w:webHidden/>
              </w:rPr>
              <w:fldChar w:fldCharType="separate"/>
            </w:r>
            <w:r w:rsidR="00D523A5">
              <w:rPr>
                <w:noProof/>
                <w:webHidden/>
              </w:rPr>
              <w:t>8</w:t>
            </w:r>
            <w:r w:rsidR="00D523A5">
              <w:rPr>
                <w:noProof/>
                <w:webHidden/>
              </w:rPr>
              <w:fldChar w:fldCharType="end"/>
            </w:r>
          </w:hyperlink>
        </w:p>
        <w:p w14:paraId="4172C189" w14:textId="0EC5964D" w:rsidR="00D523A5" w:rsidRDefault="003218B7">
          <w:pPr>
            <w:pStyle w:val="TOC2"/>
            <w:tabs>
              <w:tab w:val="right" w:leader="dot" w:pos="9736"/>
            </w:tabs>
            <w:rPr>
              <w:rFonts w:eastAsiaTheme="minorEastAsia"/>
              <w:noProof/>
              <w:lang w:eastAsia="en-GB"/>
            </w:rPr>
          </w:pPr>
          <w:hyperlink w:anchor="_Toc8250282" w:history="1">
            <w:r w:rsidR="00D523A5" w:rsidRPr="000D68F6">
              <w:rPr>
                <w:rStyle w:val="Hyperlink"/>
                <w:smallCaps/>
                <w:noProof/>
                <w:spacing w:val="5"/>
              </w:rPr>
              <w:t>Section 1: FUNCTIONALITY</w:t>
            </w:r>
            <w:r w:rsidR="00D523A5">
              <w:rPr>
                <w:noProof/>
                <w:webHidden/>
              </w:rPr>
              <w:tab/>
            </w:r>
            <w:r w:rsidR="00D523A5">
              <w:rPr>
                <w:noProof/>
                <w:webHidden/>
              </w:rPr>
              <w:fldChar w:fldCharType="begin"/>
            </w:r>
            <w:r w:rsidR="00D523A5">
              <w:rPr>
                <w:noProof/>
                <w:webHidden/>
              </w:rPr>
              <w:instrText xml:space="preserve"> PAGEREF _Toc8250282 \h </w:instrText>
            </w:r>
            <w:r w:rsidR="00D523A5">
              <w:rPr>
                <w:noProof/>
                <w:webHidden/>
              </w:rPr>
            </w:r>
            <w:r w:rsidR="00D523A5">
              <w:rPr>
                <w:noProof/>
                <w:webHidden/>
              </w:rPr>
              <w:fldChar w:fldCharType="separate"/>
            </w:r>
            <w:r w:rsidR="00D523A5">
              <w:rPr>
                <w:noProof/>
                <w:webHidden/>
              </w:rPr>
              <w:t>8</w:t>
            </w:r>
            <w:r w:rsidR="00D523A5">
              <w:rPr>
                <w:noProof/>
                <w:webHidden/>
              </w:rPr>
              <w:fldChar w:fldCharType="end"/>
            </w:r>
          </w:hyperlink>
        </w:p>
        <w:p w14:paraId="6A7788CC" w14:textId="0284343D" w:rsidR="00D523A5" w:rsidRDefault="003218B7">
          <w:pPr>
            <w:pStyle w:val="TOC2"/>
            <w:tabs>
              <w:tab w:val="right" w:leader="dot" w:pos="9736"/>
            </w:tabs>
            <w:rPr>
              <w:rFonts w:eastAsiaTheme="minorEastAsia"/>
              <w:noProof/>
              <w:lang w:eastAsia="en-GB"/>
            </w:rPr>
          </w:pPr>
          <w:hyperlink w:anchor="_Toc8250283" w:history="1">
            <w:r w:rsidR="00D523A5" w:rsidRPr="000D68F6">
              <w:rPr>
                <w:rStyle w:val="Hyperlink"/>
                <w:smallCaps/>
                <w:noProof/>
                <w:spacing w:val="5"/>
              </w:rPr>
              <w:t>Section 2: DATA SUBMISSION ENHANCEMENTS</w:t>
            </w:r>
            <w:r w:rsidR="00D523A5">
              <w:rPr>
                <w:noProof/>
                <w:webHidden/>
              </w:rPr>
              <w:tab/>
            </w:r>
            <w:r w:rsidR="00D523A5">
              <w:rPr>
                <w:noProof/>
                <w:webHidden/>
              </w:rPr>
              <w:fldChar w:fldCharType="begin"/>
            </w:r>
            <w:r w:rsidR="00D523A5">
              <w:rPr>
                <w:noProof/>
                <w:webHidden/>
              </w:rPr>
              <w:instrText xml:space="preserve"> PAGEREF _Toc8250283 \h </w:instrText>
            </w:r>
            <w:r w:rsidR="00D523A5">
              <w:rPr>
                <w:noProof/>
                <w:webHidden/>
              </w:rPr>
            </w:r>
            <w:r w:rsidR="00D523A5">
              <w:rPr>
                <w:noProof/>
                <w:webHidden/>
              </w:rPr>
              <w:fldChar w:fldCharType="separate"/>
            </w:r>
            <w:r w:rsidR="00D523A5">
              <w:rPr>
                <w:noProof/>
                <w:webHidden/>
              </w:rPr>
              <w:t>12</w:t>
            </w:r>
            <w:r w:rsidR="00D523A5">
              <w:rPr>
                <w:noProof/>
                <w:webHidden/>
              </w:rPr>
              <w:fldChar w:fldCharType="end"/>
            </w:r>
          </w:hyperlink>
        </w:p>
        <w:p w14:paraId="06C7E6C2" w14:textId="190F8162" w:rsidR="00D523A5" w:rsidRDefault="003218B7">
          <w:pPr>
            <w:pStyle w:val="TOC2"/>
            <w:tabs>
              <w:tab w:val="right" w:leader="dot" w:pos="9736"/>
            </w:tabs>
            <w:rPr>
              <w:rFonts w:eastAsiaTheme="minorEastAsia"/>
              <w:noProof/>
              <w:lang w:eastAsia="en-GB"/>
            </w:rPr>
          </w:pPr>
          <w:hyperlink w:anchor="_Toc8250284" w:history="1">
            <w:r w:rsidR="00D523A5" w:rsidRPr="000D68F6">
              <w:rPr>
                <w:rStyle w:val="Hyperlink"/>
                <w:smallCaps/>
                <w:noProof/>
                <w:spacing w:val="5"/>
              </w:rPr>
              <w:t>Section 3: SERVICE LEVELS</w:t>
            </w:r>
            <w:r w:rsidR="00D523A5">
              <w:rPr>
                <w:noProof/>
                <w:webHidden/>
              </w:rPr>
              <w:tab/>
            </w:r>
            <w:r w:rsidR="00D523A5">
              <w:rPr>
                <w:noProof/>
                <w:webHidden/>
              </w:rPr>
              <w:fldChar w:fldCharType="begin"/>
            </w:r>
            <w:r w:rsidR="00D523A5">
              <w:rPr>
                <w:noProof/>
                <w:webHidden/>
              </w:rPr>
              <w:instrText xml:space="preserve"> PAGEREF _Toc8250284 \h </w:instrText>
            </w:r>
            <w:r w:rsidR="00D523A5">
              <w:rPr>
                <w:noProof/>
                <w:webHidden/>
              </w:rPr>
            </w:r>
            <w:r w:rsidR="00D523A5">
              <w:rPr>
                <w:noProof/>
                <w:webHidden/>
              </w:rPr>
              <w:fldChar w:fldCharType="separate"/>
            </w:r>
            <w:r w:rsidR="00D523A5">
              <w:rPr>
                <w:noProof/>
                <w:webHidden/>
              </w:rPr>
              <w:t>17</w:t>
            </w:r>
            <w:r w:rsidR="00D523A5">
              <w:rPr>
                <w:noProof/>
                <w:webHidden/>
              </w:rPr>
              <w:fldChar w:fldCharType="end"/>
            </w:r>
          </w:hyperlink>
        </w:p>
        <w:p w14:paraId="3DEC627D" w14:textId="03AD91BF" w:rsidR="00D523A5" w:rsidRDefault="003218B7">
          <w:pPr>
            <w:pStyle w:val="TOC2"/>
            <w:tabs>
              <w:tab w:val="right" w:leader="dot" w:pos="9736"/>
            </w:tabs>
            <w:rPr>
              <w:rFonts w:eastAsiaTheme="minorEastAsia"/>
              <w:noProof/>
              <w:lang w:eastAsia="en-GB"/>
            </w:rPr>
          </w:pPr>
          <w:hyperlink w:anchor="_Toc8250285" w:history="1">
            <w:r w:rsidR="00D523A5" w:rsidRPr="000D68F6">
              <w:rPr>
                <w:rStyle w:val="Hyperlink"/>
                <w:smallCaps/>
                <w:noProof/>
                <w:spacing w:val="5"/>
              </w:rPr>
              <w:t>Section 4: SERVICE AVAILABILITY</w:t>
            </w:r>
            <w:r w:rsidR="00D523A5">
              <w:rPr>
                <w:noProof/>
                <w:webHidden/>
              </w:rPr>
              <w:tab/>
            </w:r>
            <w:r w:rsidR="00D523A5">
              <w:rPr>
                <w:noProof/>
                <w:webHidden/>
              </w:rPr>
              <w:fldChar w:fldCharType="begin"/>
            </w:r>
            <w:r w:rsidR="00D523A5">
              <w:rPr>
                <w:noProof/>
                <w:webHidden/>
              </w:rPr>
              <w:instrText xml:space="preserve"> PAGEREF _Toc8250285 \h </w:instrText>
            </w:r>
            <w:r w:rsidR="00D523A5">
              <w:rPr>
                <w:noProof/>
                <w:webHidden/>
              </w:rPr>
            </w:r>
            <w:r w:rsidR="00D523A5">
              <w:rPr>
                <w:noProof/>
                <w:webHidden/>
              </w:rPr>
              <w:fldChar w:fldCharType="separate"/>
            </w:r>
            <w:r w:rsidR="00D523A5">
              <w:rPr>
                <w:noProof/>
                <w:webHidden/>
              </w:rPr>
              <w:t>18</w:t>
            </w:r>
            <w:r w:rsidR="00D523A5">
              <w:rPr>
                <w:noProof/>
                <w:webHidden/>
              </w:rPr>
              <w:fldChar w:fldCharType="end"/>
            </w:r>
          </w:hyperlink>
        </w:p>
        <w:p w14:paraId="308B3039" w14:textId="56CC41A0" w:rsidR="00D523A5" w:rsidRDefault="003218B7">
          <w:pPr>
            <w:pStyle w:val="TOC2"/>
            <w:tabs>
              <w:tab w:val="right" w:leader="dot" w:pos="9736"/>
            </w:tabs>
            <w:rPr>
              <w:rFonts w:eastAsiaTheme="minorEastAsia"/>
              <w:noProof/>
              <w:lang w:eastAsia="en-GB"/>
            </w:rPr>
          </w:pPr>
          <w:hyperlink w:anchor="_Toc8250286" w:history="1">
            <w:r w:rsidR="00D523A5" w:rsidRPr="000D68F6">
              <w:rPr>
                <w:rStyle w:val="Hyperlink"/>
                <w:smallCaps/>
                <w:noProof/>
                <w:spacing w:val="5"/>
              </w:rPr>
              <w:t>Section 5: CYBERSECURITY</w:t>
            </w:r>
            <w:r w:rsidR="00D523A5">
              <w:rPr>
                <w:noProof/>
                <w:webHidden/>
              </w:rPr>
              <w:tab/>
            </w:r>
            <w:r w:rsidR="00D523A5">
              <w:rPr>
                <w:noProof/>
                <w:webHidden/>
              </w:rPr>
              <w:fldChar w:fldCharType="begin"/>
            </w:r>
            <w:r w:rsidR="00D523A5">
              <w:rPr>
                <w:noProof/>
                <w:webHidden/>
              </w:rPr>
              <w:instrText xml:space="preserve"> PAGEREF _Toc8250286 \h </w:instrText>
            </w:r>
            <w:r w:rsidR="00D523A5">
              <w:rPr>
                <w:noProof/>
                <w:webHidden/>
              </w:rPr>
            </w:r>
            <w:r w:rsidR="00D523A5">
              <w:rPr>
                <w:noProof/>
                <w:webHidden/>
              </w:rPr>
              <w:fldChar w:fldCharType="separate"/>
            </w:r>
            <w:r w:rsidR="00D523A5">
              <w:rPr>
                <w:noProof/>
                <w:webHidden/>
              </w:rPr>
              <w:t>19</w:t>
            </w:r>
            <w:r w:rsidR="00D523A5">
              <w:rPr>
                <w:noProof/>
                <w:webHidden/>
              </w:rPr>
              <w:fldChar w:fldCharType="end"/>
            </w:r>
          </w:hyperlink>
        </w:p>
        <w:p w14:paraId="66C5DA3D" w14:textId="18E753FC" w:rsidR="00D523A5" w:rsidRDefault="003218B7">
          <w:pPr>
            <w:pStyle w:val="TOC2"/>
            <w:tabs>
              <w:tab w:val="right" w:leader="dot" w:pos="9736"/>
            </w:tabs>
            <w:rPr>
              <w:rFonts w:eastAsiaTheme="minorEastAsia"/>
              <w:noProof/>
              <w:lang w:eastAsia="en-GB"/>
            </w:rPr>
          </w:pPr>
          <w:hyperlink w:anchor="_Toc8250287" w:history="1">
            <w:r w:rsidR="00D523A5" w:rsidRPr="000D68F6">
              <w:rPr>
                <w:rStyle w:val="Hyperlink"/>
                <w:smallCaps/>
                <w:noProof/>
                <w:spacing w:val="5"/>
              </w:rPr>
              <w:t>Section 6: AOB</w:t>
            </w:r>
            <w:r w:rsidR="00D523A5">
              <w:rPr>
                <w:noProof/>
                <w:webHidden/>
              </w:rPr>
              <w:tab/>
            </w:r>
            <w:r w:rsidR="00D523A5">
              <w:rPr>
                <w:noProof/>
                <w:webHidden/>
              </w:rPr>
              <w:fldChar w:fldCharType="begin"/>
            </w:r>
            <w:r w:rsidR="00D523A5">
              <w:rPr>
                <w:noProof/>
                <w:webHidden/>
              </w:rPr>
              <w:instrText xml:space="preserve"> PAGEREF _Toc8250287 \h </w:instrText>
            </w:r>
            <w:r w:rsidR="00D523A5">
              <w:rPr>
                <w:noProof/>
                <w:webHidden/>
              </w:rPr>
            </w:r>
            <w:r w:rsidR="00D523A5">
              <w:rPr>
                <w:noProof/>
                <w:webHidden/>
              </w:rPr>
              <w:fldChar w:fldCharType="separate"/>
            </w:r>
            <w:r w:rsidR="00D523A5">
              <w:rPr>
                <w:noProof/>
                <w:webHidden/>
              </w:rPr>
              <w:t>22</w:t>
            </w:r>
            <w:r w:rsidR="00D523A5">
              <w:rPr>
                <w:noProof/>
                <w:webHidden/>
              </w:rPr>
              <w:fldChar w:fldCharType="end"/>
            </w:r>
          </w:hyperlink>
        </w:p>
        <w:p w14:paraId="584DAB69" w14:textId="1389C6F4" w:rsidR="004965E9" w:rsidRDefault="004965E9">
          <w:r>
            <w:rPr>
              <w:b/>
              <w:bCs/>
              <w:noProof/>
            </w:rPr>
            <w:fldChar w:fldCharType="end"/>
          </w:r>
        </w:p>
      </w:sdtContent>
    </w:sdt>
    <w:p w14:paraId="77AD8BF9" w14:textId="77777777" w:rsidR="004965E9" w:rsidRDefault="004965E9">
      <w:pPr>
        <w:spacing w:before="0" w:line="240" w:lineRule="auto"/>
        <w:rPr>
          <w:rFonts w:asciiTheme="majorHAnsi" w:eastAsiaTheme="majorEastAsia" w:hAnsiTheme="majorHAnsi" w:cstheme="majorBidi"/>
          <w:color w:val="2E74B5" w:themeColor="accent1" w:themeShade="BF"/>
          <w:sz w:val="32"/>
          <w:szCs w:val="32"/>
        </w:rPr>
      </w:pPr>
      <w:r>
        <w:br w:type="page"/>
      </w:r>
    </w:p>
    <w:p w14:paraId="28DAE254" w14:textId="0CF39526" w:rsidR="000225A3" w:rsidRDefault="00B564FB" w:rsidP="004965E9">
      <w:pPr>
        <w:pStyle w:val="Heading1"/>
      </w:pPr>
      <w:bookmarkStart w:id="4" w:name="_Toc8250276"/>
      <w:r>
        <w:lastRenderedPageBreak/>
        <w:t>Executive Summary</w:t>
      </w:r>
      <w:bookmarkEnd w:id="3"/>
      <w:bookmarkEnd w:id="4"/>
    </w:p>
    <w:p w14:paraId="3F5F0828" w14:textId="55F67337" w:rsidR="00D055BE" w:rsidRPr="00D055BE" w:rsidRDefault="00D055BE" w:rsidP="006B66C2">
      <w:pPr>
        <w:pStyle w:val="Title"/>
        <w:spacing w:before="120" w:after="120" w:line="276" w:lineRule="auto"/>
        <w:contextualSpacing w:val="0"/>
        <w:rPr>
          <w:rFonts w:asciiTheme="minorHAnsi" w:eastAsiaTheme="minorHAnsi" w:hAnsiTheme="minorHAnsi" w:cstheme="minorBidi"/>
          <w:spacing w:val="0"/>
          <w:kern w:val="0"/>
          <w:sz w:val="22"/>
          <w:szCs w:val="22"/>
        </w:rPr>
      </w:pPr>
      <w:r w:rsidRPr="00D055BE">
        <w:rPr>
          <w:rFonts w:asciiTheme="minorHAnsi" w:eastAsiaTheme="minorHAnsi" w:hAnsiTheme="minorHAnsi" w:cstheme="minorBidi"/>
          <w:spacing w:val="0"/>
          <w:kern w:val="0"/>
          <w:sz w:val="22"/>
          <w:szCs w:val="22"/>
        </w:rPr>
        <w:t xml:space="preserve">Industry </w:t>
      </w:r>
      <w:r>
        <w:rPr>
          <w:rFonts w:asciiTheme="minorHAnsi" w:eastAsiaTheme="minorHAnsi" w:hAnsiTheme="minorHAnsi" w:cstheme="minorBidi"/>
          <w:spacing w:val="0"/>
          <w:kern w:val="0"/>
          <w:sz w:val="22"/>
          <w:szCs w:val="22"/>
        </w:rPr>
        <w:t>f</w:t>
      </w:r>
      <w:r w:rsidRPr="00D055BE">
        <w:rPr>
          <w:rFonts w:asciiTheme="minorHAnsi" w:eastAsiaTheme="minorHAnsi" w:hAnsiTheme="minorHAnsi" w:cstheme="minorBidi"/>
          <w:spacing w:val="0"/>
          <w:kern w:val="0"/>
          <w:sz w:val="22"/>
          <w:szCs w:val="22"/>
        </w:rPr>
        <w:t xml:space="preserve">eedback </w:t>
      </w:r>
      <w:r>
        <w:rPr>
          <w:rFonts w:asciiTheme="minorHAnsi" w:eastAsiaTheme="minorHAnsi" w:hAnsiTheme="minorHAnsi" w:cstheme="minorBidi"/>
          <w:spacing w:val="0"/>
          <w:kern w:val="0"/>
          <w:sz w:val="22"/>
          <w:szCs w:val="22"/>
        </w:rPr>
        <w:t>is s</w:t>
      </w:r>
      <w:r w:rsidRPr="00D055BE">
        <w:rPr>
          <w:rFonts w:asciiTheme="minorHAnsi" w:eastAsiaTheme="minorHAnsi" w:hAnsiTheme="minorHAnsi" w:cstheme="minorBidi"/>
          <w:spacing w:val="0"/>
          <w:kern w:val="0"/>
          <w:sz w:val="22"/>
          <w:szCs w:val="22"/>
        </w:rPr>
        <w:t xml:space="preserve">ought on questions </w:t>
      </w:r>
      <w:r>
        <w:rPr>
          <w:rFonts w:asciiTheme="minorHAnsi" w:eastAsiaTheme="minorHAnsi" w:hAnsiTheme="minorHAnsi" w:cstheme="minorBidi"/>
          <w:spacing w:val="0"/>
          <w:kern w:val="0"/>
          <w:sz w:val="22"/>
          <w:szCs w:val="22"/>
        </w:rPr>
        <w:t xml:space="preserve">that will shape the </w:t>
      </w:r>
      <w:r w:rsidRPr="00D055BE">
        <w:rPr>
          <w:rFonts w:asciiTheme="minorHAnsi" w:eastAsiaTheme="minorHAnsi" w:hAnsiTheme="minorHAnsi" w:cstheme="minorBidi"/>
          <w:spacing w:val="0"/>
          <w:kern w:val="0"/>
          <w:sz w:val="22"/>
          <w:szCs w:val="22"/>
        </w:rPr>
        <w:t>DSB service in 2020</w:t>
      </w:r>
      <w:r>
        <w:rPr>
          <w:rFonts w:asciiTheme="minorHAnsi" w:eastAsiaTheme="minorHAnsi" w:hAnsiTheme="minorHAnsi" w:cstheme="minorBidi"/>
          <w:spacing w:val="0"/>
          <w:kern w:val="0"/>
          <w:sz w:val="22"/>
          <w:szCs w:val="22"/>
        </w:rPr>
        <w:t xml:space="preserve">. </w:t>
      </w:r>
    </w:p>
    <w:p w14:paraId="18B41F0A" w14:textId="5A161245" w:rsidR="0045086C" w:rsidRDefault="00D055BE" w:rsidP="001A3FBD">
      <w:pPr>
        <w:spacing w:before="0" w:after="120" w:line="276" w:lineRule="auto"/>
      </w:pPr>
      <w:r>
        <w:t xml:space="preserve">The questions </w:t>
      </w:r>
      <w:r w:rsidR="00D328DE">
        <w:t xml:space="preserve">contained within this consultation </w:t>
      </w:r>
      <w:r>
        <w:t xml:space="preserve">are based on queries and feedback received from industry since the DSB’s consultation in </w:t>
      </w:r>
      <w:r w:rsidR="00776541">
        <w:t>2018</w:t>
      </w:r>
      <w:r>
        <w:t xml:space="preserve">. </w:t>
      </w:r>
      <w:r w:rsidR="00713FEC">
        <w:t>As with prior years, t</w:t>
      </w:r>
      <w:r>
        <w:t>he purpose of th</w:t>
      </w:r>
      <w:r w:rsidR="00713FEC">
        <w:t xml:space="preserve">is first </w:t>
      </w:r>
      <w:r>
        <w:t xml:space="preserve">consultation is to obtain industry’s </w:t>
      </w:r>
      <w:r w:rsidR="004C36A9">
        <w:t xml:space="preserve">view </w:t>
      </w:r>
      <w:r w:rsidR="00776541">
        <w:t xml:space="preserve">in order </w:t>
      </w:r>
      <w:r w:rsidR="004C36A9">
        <w:t>to</w:t>
      </w:r>
      <w:r>
        <w:t xml:space="preserve"> ensure that the DSB focuses its attention on those potential changes which are the most valuable. </w:t>
      </w:r>
    </w:p>
    <w:p w14:paraId="3BC8A9BE" w14:textId="47ED0537" w:rsidR="00D055BE" w:rsidRDefault="00D055BE" w:rsidP="00126C3C">
      <w:pPr>
        <w:spacing w:before="0" w:after="120" w:line="276" w:lineRule="auto"/>
      </w:pPr>
      <w:r>
        <w:t>The features identified as most desired by industry (</w:t>
      </w:r>
      <w:r w:rsidR="00632165">
        <w:t xml:space="preserve">from </w:t>
      </w:r>
      <w:r>
        <w:t xml:space="preserve">this first round of consultation) will be subsequently </w:t>
      </w:r>
      <w:r w:rsidR="0025145E">
        <w:t>analyzed</w:t>
      </w:r>
      <w:r>
        <w:t xml:space="preserve"> in greater detail. A</w:t>
      </w:r>
      <w:r w:rsidR="00713FEC">
        <w:t xml:space="preserve">ssociated </w:t>
      </w:r>
      <w:r>
        <w:t xml:space="preserve">detail on costs and functionality will be provided as part of the second consultation </w:t>
      </w:r>
      <w:r w:rsidR="001959DC">
        <w:t>round</w:t>
      </w:r>
      <w:r>
        <w:t xml:space="preserve"> to allow industry to </w:t>
      </w:r>
      <w:r w:rsidR="0071204D">
        <w:t xml:space="preserve">provide </w:t>
      </w:r>
      <w:r>
        <w:t xml:space="preserve">feedback on whether it wishes the DSB to proceed with implementation in 2020. </w:t>
      </w:r>
    </w:p>
    <w:p w14:paraId="1C24B53E" w14:textId="77777777" w:rsidR="00D055BE" w:rsidRDefault="00D055BE" w:rsidP="001A3FBD">
      <w:pPr>
        <w:spacing w:before="0" w:after="120" w:line="276" w:lineRule="auto"/>
      </w:pPr>
      <w:r>
        <w:rPr>
          <w:b/>
          <w:bCs/>
        </w:rPr>
        <w:t xml:space="preserve">Proposed Format for Industry Responses to the DSB Consultations </w:t>
      </w:r>
    </w:p>
    <w:p w14:paraId="4749CF7C" w14:textId="75702244" w:rsidR="00D055BE" w:rsidRDefault="00D055BE" w:rsidP="001A3FBD">
      <w:pPr>
        <w:pStyle w:val="ListParagraph"/>
        <w:numPr>
          <w:ilvl w:val="0"/>
          <w:numId w:val="17"/>
        </w:numPr>
        <w:spacing w:before="0" w:after="120" w:line="276" w:lineRule="auto"/>
        <w:contextualSpacing w:val="0"/>
      </w:pPr>
      <w:r>
        <w:t xml:space="preserve">Consultation responses should be completed using the form below and emailed to </w:t>
      </w:r>
      <w:hyperlink r:id="rId12" w:history="1">
        <w:r>
          <w:rPr>
            <w:rStyle w:val="Hyperlink"/>
          </w:rPr>
          <w:t>industry_consultation@anna-dsb.com</w:t>
        </w:r>
      </w:hyperlink>
      <w:r>
        <w:t> </w:t>
      </w:r>
    </w:p>
    <w:p w14:paraId="7D79462F" w14:textId="6CBD3F83" w:rsidR="002F61CE" w:rsidRDefault="007E7137">
      <w:pPr>
        <w:pStyle w:val="ListParagraph"/>
        <w:numPr>
          <w:ilvl w:val="0"/>
          <w:numId w:val="17"/>
        </w:numPr>
        <w:spacing w:before="0" w:after="120" w:line="276" w:lineRule="auto"/>
        <w:contextualSpacing w:val="0"/>
      </w:pPr>
      <w:r>
        <w:t>An</w:t>
      </w:r>
      <w:r w:rsidR="00D055BE">
        <w:t xml:space="preserve"> option is provided for respondents to stipulate whether the response is to be treated as anonymous. Note that all responses are published on the DSB website and are not anonymized unless </w:t>
      </w:r>
      <w:r w:rsidR="00F72D74">
        <w:t xml:space="preserve">a </w:t>
      </w:r>
      <w:r w:rsidR="00D055BE">
        <w:t>specific request</w:t>
      </w:r>
      <w:r w:rsidR="00F72D74">
        <w:t xml:space="preserve"> is</w:t>
      </w:r>
      <w:r w:rsidR="00D055BE">
        <w:t xml:space="preserve"> made</w:t>
      </w:r>
    </w:p>
    <w:p w14:paraId="064183D3" w14:textId="36372AFF" w:rsidR="00D055BE" w:rsidRDefault="00D055BE">
      <w:pPr>
        <w:pStyle w:val="ListParagraph"/>
        <w:numPr>
          <w:ilvl w:val="0"/>
          <w:numId w:val="17"/>
        </w:numPr>
        <w:spacing w:before="0" w:after="120" w:line="276" w:lineRule="auto"/>
        <w:contextualSpacing w:val="0"/>
      </w:pPr>
      <w:r>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1A6AE349" w14:textId="77777777" w:rsidR="00D055BE" w:rsidRDefault="00D055BE" w:rsidP="001A3FBD">
      <w:pPr>
        <w:pStyle w:val="ListParagraph"/>
        <w:numPr>
          <w:ilvl w:val="0"/>
          <w:numId w:val="17"/>
        </w:numPr>
        <w:spacing w:before="0" w:after="120" w:line="276" w:lineRule="auto"/>
        <w:contextualSpacing w:val="0"/>
      </w:pPr>
      <w:r>
        <w:t xml:space="preserve">As with prior consultations, each organization is permitted a single response </w:t>
      </w:r>
    </w:p>
    <w:p w14:paraId="119E32C0" w14:textId="77777777" w:rsidR="00D055BE" w:rsidRDefault="00D055BE" w:rsidP="001A3FBD">
      <w:pPr>
        <w:pStyle w:val="ListParagraph"/>
        <w:numPr>
          <w:ilvl w:val="0"/>
          <w:numId w:val="17"/>
        </w:numPr>
        <w:spacing w:before="0" w:after="120" w:line="276" w:lineRule="auto"/>
        <w:contextualSpacing w:val="0"/>
      </w:pPr>
      <w:r>
        <w:t xml:space="preserve">Responses should include details of the type of organization responding to the consultation and its current user category to enable the DSB to analyze client needs in more detail and include anonymized statistics as part of the second consultation report </w:t>
      </w:r>
    </w:p>
    <w:p w14:paraId="7D0DB14F" w14:textId="0757FF9E" w:rsidR="00D055BE" w:rsidRDefault="00D055BE" w:rsidP="001A3FBD">
      <w:pPr>
        <w:pStyle w:val="ListParagraph"/>
        <w:numPr>
          <w:ilvl w:val="0"/>
          <w:numId w:val="17"/>
        </w:numPr>
        <w:spacing w:before="0" w:after="120" w:line="276" w:lineRule="auto"/>
        <w:contextualSpacing w:val="0"/>
      </w:pPr>
      <w:r>
        <w:t xml:space="preserve">Responses must be received by 5pm UTC on </w:t>
      </w:r>
      <w:r w:rsidR="00632165">
        <w:t xml:space="preserve">Wednesday </w:t>
      </w:r>
      <w:r w:rsidR="0045086C">
        <w:t>5</w:t>
      </w:r>
      <w:r w:rsidR="0045086C" w:rsidRPr="0045086C">
        <w:rPr>
          <w:vertAlign w:val="superscript"/>
        </w:rPr>
        <w:t>th</w:t>
      </w:r>
      <w:r w:rsidR="0045086C">
        <w:t xml:space="preserve"> </w:t>
      </w:r>
      <w:r>
        <w:t>June 201</w:t>
      </w:r>
      <w:r w:rsidR="0045086C">
        <w:t>9</w:t>
      </w:r>
      <w:r>
        <w:t xml:space="preserve"> </w:t>
      </w:r>
    </w:p>
    <w:p w14:paraId="33E01570" w14:textId="77777777" w:rsidR="00F376B2" w:rsidRDefault="00F376B2" w:rsidP="00126C3C">
      <w:pPr>
        <w:pStyle w:val="ListParagraph"/>
        <w:numPr>
          <w:ilvl w:val="0"/>
          <w:numId w:val="17"/>
        </w:numPr>
        <w:spacing w:before="0" w:after="120" w:line="276" w:lineRule="auto"/>
        <w:ind w:left="714" w:hanging="357"/>
        <w:contextualSpacing w:val="0"/>
      </w:pPr>
      <w:r>
        <w:t>A webinar to address consultation related queries will take place on Thursday 16</w:t>
      </w:r>
      <w:r w:rsidRPr="005B3D59">
        <w:rPr>
          <w:vertAlign w:val="superscript"/>
        </w:rPr>
        <w:t>th</w:t>
      </w:r>
      <w:r>
        <w:t xml:space="preserve"> May 2019. Register for the webinar </w:t>
      </w:r>
      <w:hyperlink r:id="rId13" w:history="1">
        <w:r w:rsidRPr="004A17BD">
          <w:rPr>
            <w:rStyle w:val="Hyperlink"/>
          </w:rPr>
          <w:t>he</w:t>
        </w:r>
        <w:r w:rsidRPr="004A17BD">
          <w:rPr>
            <w:rStyle w:val="Hyperlink"/>
          </w:rPr>
          <w:t>r</w:t>
        </w:r>
        <w:r w:rsidRPr="004A17BD">
          <w:rPr>
            <w:rStyle w:val="Hyperlink"/>
          </w:rPr>
          <w:t>e</w:t>
        </w:r>
      </w:hyperlink>
      <w:r>
        <w:t>. </w:t>
      </w:r>
    </w:p>
    <w:p w14:paraId="7FE7B955" w14:textId="77777777" w:rsidR="00F376B2" w:rsidRPr="00126C3C" w:rsidRDefault="00D055BE" w:rsidP="00126C3C">
      <w:pPr>
        <w:pStyle w:val="ListParagraph"/>
        <w:numPr>
          <w:ilvl w:val="0"/>
          <w:numId w:val="17"/>
        </w:numPr>
        <w:spacing w:before="0" w:after="360" w:line="276" w:lineRule="auto"/>
        <w:ind w:left="714" w:hanging="357"/>
        <w:contextualSpacing w:val="0"/>
        <w:rPr>
          <w:rStyle w:val="Hyperlink"/>
          <w:color w:val="auto"/>
          <w:u w:val="none"/>
        </w:rPr>
      </w:pPr>
      <w:r>
        <w:t xml:space="preserve">All consultation related queries should be directed to </w:t>
      </w:r>
      <w:hyperlink r:id="rId14" w:history="1">
        <w:r>
          <w:rPr>
            <w:rStyle w:val="Hyperlink"/>
          </w:rPr>
          <w:t>industry_consultation@anna-dsb.com</w:t>
        </w:r>
      </w:hyperlink>
    </w:p>
    <w:p w14:paraId="1668845B" w14:textId="6191C166" w:rsidR="0034447E" w:rsidRDefault="0034447E" w:rsidP="004965E9">
      <w:pPr>
        <w:pStyle w:val="Heading1"/>
      </w:pPr>
      <w:bookmarkStart w:id="5" w:name="_Toc7171256"/>
      <w:bookmarkStart w:id="6" w:name="_Toc8250277"/>
      <w:bookmarkStart w:id="7" w:name="_Toc6934732"/>
      <w:r>
        <w:t>Respondent Details</w:t>
      </w:r>
      <w:bookmarkEnd w:id="5"/>
      <w:bookmarkEnd w:id="6"/>
      <w:r>
        <w:t xml:space="preserve"> </w:t>
      </w:r>
    </w:p>
    <w:tbl>
      <w:tblPr>
        <w:tblStyle w:val="TableGrid"/>
        <w:tblW w:w="0" w:type="auto"/>
        <w:tblLook w:val="04A0" w:firstRow="1" w:lastRow="0" w:firstColumn="1" w:lastColumn="0" w:noHBand="0" w:noVBand="1"/>
      </w:tblPr>
      <w:tblGrid>
        <w:gridCol w:w="4924"/>
        <w:gridCol w:w="4092"/>
      </w:tblGrid>
      <w:tr w:rsidR="0034447E" w:rsidRPr="00A12A5F" w14:paraId="7D53DFF8" w14:textId="77777777" w:rsidTr="00E94A2E">
        <w:tc>
          <w:tcPr>
            <w:tcW w:w="4924" w:type="dxa"/>
            <w:vAlign w:val="center"/>
          </w:tcPr>
          <w:p w14:paraId="5B5277D5" w14:textId="77777777" w:rsidR="0034447E" w:rsidRPr="00F23CB8" w:rsidRDefault="0034447E" w:rsidP="001A3FBD">
            <w:pPr>
              <w:spacing w:line="276" w:lineRule="auto"/>
              <w:rPr>
                <w:lang w:val="en-GB"/>
              </w:rPr>
            </w:pPr>
            <w:r w:rsidRPr="00F23CB8">
              <w:rPr>
                <w:lang w:val="en-GB"/>
              </w:rPr>
              <w:t>Name</w:t>
            </w:r>
          </w:p>
        </w:tc>
        <w:tc>
          <w:tcPr>
            <w:tcW w:w="4092" w:type="dxa"/>
            <w:vAlign w:val="center"/>
          </w:tcPr>
          <w:p w14:paraId="05CBFA74" w14:textId="77777777" w:rsidR="0034447E" w:rsidRPr="00A12A5F" w:rsidRDefault="0034447E" w:rsidP="001A3FBD">
            <w:pPr>
              <w:spacing w:line="276" w:lineRule="auto"/>
              <w:rPr>
                <w:lang w:val="en-GB"/>
              </w:rPr>
            </w:pPr>
          </w:p>
        </w:tc>
      </w:tr>
      <w:tr w:rsidR="0034447E" w:rsidRPr="00A12A5F" w14:paraId="54963D01" w14:textId="77777777" w:rsidTr="00E94A2E">
        <w:tc>
          <w:tcPr>
            <w:tcW w:w="4924" w:type="dxa"/>
            <w:vAlign w:val="center"/>
          </w:tcPr>
          <w:p w14:paraId="15C43744" w14:textId="77777777" w:rsidR="0034447E" w:rsidRPr="00F23CB8" w:rsidRDefault="0034447E" w:rsidP="001A3FBD">
            <w:pPr>
              <w:spacing w:line="276" w:lineRule="auto"/>
              <w:rPr>
                <w:lang w:val="en-GB"/>
              </w:rPr>
            </w:pPr>
            <w:r w:rsidRPr="00F23CB8">
              <w:rPr>
                <w:lang w:val="en-GB"/>
              </w:rPr>
              <w:t>Email address</w:t>
            </w:r>
          </w:p>
        </w:tc>
        <w:tc>
          <w:tcPr>
            <w:tcW w:w="4092" w:type="dxa"/>
            <w:vAlign w:val="center"/>
          </w:tcPr>
          <w:p w14:paraId="2388DD15" w14:textId="77777777" w:rsidR="0034447E" w:rsidRPr="00A12A5F" w:rsidRDefault="0034447E" w:rsidP="001A3FBD">
            <w:pPr>
              <w:spacing w:line="276" w:lineRule="auto"/>
              <w:rPr>
                <w:lang w:val="en-GB"/>
              </w:rPr>
            </w:pPr>
          </w:p>
        </w:tc>
      </w:tr>
      <w:tr w:rsidR="0034447E" w:rsidRPr="00A12A5F" w14:paraId="480676EC" w14:textId="77777777" w:rsidTr="00E94A2E">
        <w:tc>
          <w:tcPr>
            <w:tcW w:w="4924" w:type="dxa"/>
            <w:vAlign w:val="center"/>
          </w:tcPr>
          <w:p w14:paraId="22AF290E" w14:textId="77777777" w:rsidR="0034447E" w:rsidRPr="00F23CB8" w:rsidRDefault="0034447E" w:rsidP="001A3FBD">
            <w:pPr>
              <w:spacing w:line="276" w:lineRule="auto"/>
              <w:rPr>
                <w:lang w:val="en-GB"/>
              </w:rPr>
            </w:pPr>
            <w:r w:rsidRPr="00F23CB8">
              <w:rPr>
                <w:lang w:val="en-GB"/>
              </w:rPr>
              <w:t>Company</w:t>
            </w:r>
          </w:p>
        </w:tc>
        <w:tc>
          <w:tcPr>
            <w:tcW w:w="4092" w:type="dxa"/>
            <w:vAlign w:val="center"/>
          </w:tcPr>
          <w:p w14:paraId="34C6C1D2" w14:textId="77777777" w:rsidR="0034447E" w:rsidRPr="00A12A5F" w:rsidRDefault="0034447E" w:rsidP="001A3FBD">
            <w:pPr>
              <w:spacing w:line="276" w:lineRule="auto"/>
              <w:rPr>
                <w:lang w:val="en-GB"/>
              </w:rPr>
            </w:pPr>
          </w:p>
        </w:tc>
      </w:tr>
      <w:tr w:rsidR="00032A4C" w:rsidRPr="00A12A5F" w14:paraId="6866AD2E" w14:textId="77777777" w:rsidTr="00E94A2E">
        <w:tc>
          <w:tcPr>
            <w:tcW w:w="4924" w:type="dxa"/>
            <w:vAlign w:val="center"/>
          </w:tcPr>
          <w:p w14:paraId="0FC38496" w14:textId="384DE343" w:rsidR="00032A4C" w:rsidRPr="00F23CB8" w:rsidRDefault="00032A4C" w:rsidP="001A3FBD">
            <w:pPr>
              <w:spacing w:line="276" w:lineRule="auto"/>
              <w:rPr>
                <w:lang w:val="en-GB"/>
              </w:rPr>
            </w:pPr>
            <w:r>
              <w:rPr>
                <w:lang w:val="en-GB"/>
              </w:rPr>
              <w:t>Country</w:t>
            </w:r>
          </w:p>
        </w:tc>
        <w:tc>
          <w:tcPr>
            <w:tcW w:w="4092" w:type="dxa"/>
            <w:vAlign w:val="center"/>
          </w:tcPr>
          <w:p w14:paraId="5AC23B38" w14:textId="77777777" w:rsidR="00032A4C" w:rsidRDefault="00032A4C" w:rsidP="001A3FBD">
            <w:pPr>
              <w:spacing w:line="276" w:lineRule="auto"/>
            </w:pPr>
          </w:p>
        </w:tc>
      </w:tr>
      <w:tr w:rsidR="0034447E" w:rsidRPr="00A12A5F" w14:paraId="4052C455" w14:textId="77777777" w:rsidTr="00E94A2E">
        <w:tc>
          <w:tcPr>
            <w:tcW w:w="4924" w:type="dxa"/>
            <w:vAlign w:val="center"/>
          </w:tcPr>
          <w:p w14:paraId="3B0D0936" w14:textId="77777777" w:rsidR="0034447E" w:rsidRPr="00F23CB8" w:rsidRDefault="0034447E" w:rsidP="001A3FBD">
            <w:pPr>
              <w:spacing w:line="276" w:lineRule="auto"/>
              <w:rPr>
                <w:lang w:val="en-GB"/>
              </w:rPr>
            </w:pPr>
            <w:r w:rsidRPr="00F23CB8">
              <w:rPr>
                <w:lang w:val="en-GB"/>
              </w:rPr>
              <w:t>Company Type</w:t>
            </w:r>
          </w:p>
        </w:tc>
        <w:sdt>
          <w:sdtPr>
            <w:id w:val="-58944712"/>
            <w:placeholder>
              <w:docPart w:val="FEB15CEEA8DF4F2D870D7C1693C3B955"/>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4092" w:type="dxa"/>
                <w:vAlign w:val="center"/>
              </w:tcPr>
              <w:p w14:paraId="7E272F69" w14:textId="77777777" w:rsidR="0034447E" w:rsidRPr="00A12A5F" w:rsidRDefault="0034447E" w:rsidP="001A3FBD">
                <w:pPr>
                  <w:spacing w:line="276" w:lineRule="auto"/>
                  <w:rPr>
                    <w:lang w:val="en-GB"/>
                  </w:rPr>
                </w:pPr>
                <w:r>
                  <w:rPr>
                    <w:lang w:val="en-GB"/>
                  </w:rPr>
                  <w:t>Select Type</w:t>
                </w:r>
              </w:p>
            </w:tc>
          </w:sdtContent>
        </w:sdt>
      </w:tr>
      <w:tr w:rsidR="0034447E" w:rsidRPr="00A12A5F" w14:paraId="7751C287" w14:textId="77777777" w:rsidTr="00E94A2E">
        <w:tc>
          <w:tcPr>
            <w:tcW w:w="4924" w:type="dxa"/>
            <w:vAlign w:val="center"/>
          </w:tcPr>
          <w:p w14:paraId="4242CE04" w14:textId="77777777" w:rsidR="0034447E" w:rsidRPr="00F23CB8" w:rsidRDefault="0034447E" w:rsidP="001A3FBD">
            <w:pPr>
              <w:spacing w:line="276" w:lineRule="auto"/>
              <w:rPr>
                <w:lang w:val="en-GB"/>
              </w:rPr>
            </w:pPr>
            <w:r w:rsidRPr="00F23CB8">
              <w:rPr>
                <w:lang w:val="en-GB"/>
              </w:rPr>
              <w:t>User Type</w:t>
            </w:r>
          </w:p>
        </w:tc>
        <w:sdt>
          <w:sdtPr>
            <w:alias w:val="User Type"/>
            <w:tag w:val="User Type"/>
            <w:id w:val="848065618"/>
            <w:placeholder>
              <w:docPart w:val="747A58C255C749A493FDC74C2430238D"/>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4092" w:type="dxa"/>
                <w:vAlign w:val="center"/>
              </w:tcPr>
              <w:p w14:paraId="17E640D4" w14:textId="77777777" w:rsidR="0034447E" w:rsidRPr="00A12A5F" w:rsidRDefault="0034447E" w:rsidP="001A3FBD">
                <w:pPr>
                  <w:spacing w:line="276" w:lineRule="auto"/>
                  <w:rPr>
                    <w:lang w:val="en-GB"/>
                  </w:rPr>
                </w:pPr>
                <w:r>
                  <w:rPr>
                    <w:lang w:val="en-GB"/>
                  </w:rPr>
                  <w:t>Select Type</w:t>
                </w:r>
              </w:p>
            </w:tc>
          </w:sdtContent>
        </w:sdt>
      </w:tr>
      <w:tr w:rsidR="0034447E" w:rsidRPr="00A12A5F" w14:paraId="34B4413C" w14:textId="77777777" w:rsidTr="00E94A2E">
        <w:tc>
          <w:tcPr>
            <w:tcW w:w="4924" w:type="dxa"/>
            <w:vAlign w:val="center"/>
          </w:tcPr>
          <w:p w14:paraId="16A0BA1E" w14:textId="77777777" w:rsidR="0034447E" w:rsidRPr="00A12A5F" w:rsidRDefault="0034447E" w:rsidP="001A3FBD">
            <w:pPr>
              <w:spacing w:line="276" w:lineRule="auto"/>
              <w:rPr>
                <w:lang w:val="en-GB"/>
              </w:rPr>
            </w:pPr>
            <w:r w:rsidRPr="00A12A5F">
              <w:rPr>
                <w:lang w:val="en-GB"/>
              </w:rPr>
              <w:t xml:space="preserve">Select if responses </w:t>
            </w:r>
            <w:r>
              <w:rPr>
                <w:lang w:val="en-GB"/>
              </w:rPr>
              <w:t>should be anonymous</w:t>
            </w:r>
          </w:p>
        </w:tc>
        <w:sdt>
          <w:sdtPr>
            <w:alias w:val="Anonymise answers"/>
            <w:tag w:val="Anonymise answers"/>
            <w:id w:val="-693539072"/>
            <w14:checkbox>
              <w14:checked w14:val="0"/>
              <w14:checkedState w14:val="2612" w14:font="MS Gothic"/>
              <w14:uncheckedState w14:val="2610" w14:font="MS Gothic"/>
            </w14:checkbox>
          </w:sdtPr>
          <w:sdtEndPr/>
          <w:sdtContent>
            <w:tc>
              <w:tcPr>
                <w:tcW w:w="4092" w:type="dxa"/>
                <w:vAlign w:val="center"/>
              </w:tcPr>
              <w:p w14:paraId="2F10DB27" w14:textId="77777777" w:rsidR="0034447E" w:rsidRPr="00A12A5F" w:rsidRDefault="0034447E" w:rsidP="001A3FBD">
                <w:pPr>
                  <w:spacing w:line="276" w:lineRule="auto"/>
                  <w:rPr>
                    <w:lang w:val="en-GB"/>
                  </w:rPr>
                </w:pPr>
                <w:r w:rsidRPr="00A12A5F">
                  <w:rPr>
                    <w:rFonts w:ascii="Segoe UI Symbol" w:hAnsi="Segoe UI Symbol" w:cs="Segoe UI Symbol"/>
                    <w:lang w:val="en-GB"/>
                  </w:rPr>
                  <w:t>☐</w:t>
                </w:r>
              </w:p>
            </w:tc>
          </w:sdtContent>
        </w:sdt>
      </w:tr>
    </w:tbl>
    <w:p w14:paraId="322832E3" w14:textId="77777777" w:rsidR="00993C8E" w:rsidRDefault="00993C8E" w:rsidP="004965E9">
      <w:pPr>
        <w:pStyle w:val="Heading1"/>
        <w:sectPr w:rsidR="00993C8E" w:rsidSect="00723D67">
          <w:footerReference w:type="default" r:id="rId15"/>
          <w:footerReference w:type="first" r:id="rId16"/>
          <w:pgSz w:w="11906" w:h="16838" w:code="9"/>
          <w:pgMar w:top="1440" w:right="1080" w:bottom="1440" w:left="1080" w:header="709" w:footer="0" w:gutter="0"/>
          <w:cols w:space="708"/>
          <w:titlePg/>
          <w:docGrid w:linePitch="360"/>
        </w:sectPr>
      </w:pPr>
      <w:bookmarkStart w:id="8" w:name="_Toc7171257"/>
      <w:bookmarkEnd w:id="7"/>
    </w:p>
    <w:p w14:paraId="5F1B3972" w14:textId="770266A1" w:rsidR="00A94A6C" w:rsidRDefault="00A94A6C" w:rsidP="004965E9">
      <w:pPr>
        <w:pStyle w:val="Heading1"/>
      </w:pPr>
      <w:bookmarkStart w:id="9" w:name="_Toc8250278"/>
      <w:r w:rsidRPr="00126C3C">
        <w:lastRenderedPageBreak/>
        <w:t>Consultation Timeline</w:t>
      </w:r>
      <w:bookmarkEnd w:id="8"/>
      <w:bookmarkEnd w:id="9"/>
      <w:r>
        <w:t xml:space="preserve"> </w:t>
      </w:r>
    </w:p>
    <w:p w14:paraId="45D8E275" w14:textId="28238348" w:rsidR="001A3FBD" w:rsidRDefault="00F96A79" w:rsidP="001A3FBD">
      <w:pPr>
        <w:spacing w:before="0" w:line="276" w:lineRule="auto"/>
      </w:pPr>
      <w:r>
        <w:rPr>
          <w:noProof/>
        </w:rPr>
        <w:drawing>
          <wp:inline distT="0" distB="0" distL="0" distR="0" wp14:anchorId="7FA5171E" wp14:editId="06E98E54">
            <wp:extent cx="8740800" cy="480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40800" cy="4809600"/>
                    </a:xfrm>
                    <a:prstGeom prst="rect">
                      <a:avLst/>
                    </a:prstGeom>
                  </pic:spPr>
                </pic:pic>
              </a:graphicData>
            </a:graphic>
          </wp:inline>
        </w:drawing>
      </w:r>
      <w:r w:rsidR="00DA1B9D" w:rsidRPr="00296864">
        <w:rPr>
          <w:noProof/>
          <w:lang w:val="en-GB"/>
        </w:rPr>
        <w:drawing>
          <wp:anchor distT="0" distB="0" distL="114300" distR="114300" simplePos="0" relativeHeight="251658752" behindDoc="0" locked="0" layoutInCell="1" allowOverlap="1" wp14:anchorId="7F5BD9EC" wp14:editId="1F64A30F">
            <wp:simplePos x="0" y="0"/>
            <wp:positionH relativeFrom="margin">
              <wp:align>left</wp:align>
            </wp:positionH>
            <wp:positionV relativeFrom="margin">
              <wp:posOffset>20490180</wp:posOffset>
            </wp:positionV>
            <wp:extent cx="6123305" cy="3531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23600" cy="3531600"/>
                    </a:xfrm>
                    <a:prstGeom prst="rect">
                      <a:avLst/>
                    </a:prstGeom>
                  </pic:spPr>
                </pic:pic>
              </a:graphicData>
            </a:graphic>
            <wp14:sizeRelH relativeFrom="margin">
              <wp14:pctWidth>0</wp14:pctWidth>
            </wp14:sizeRelH>
            <wp14:sizeRelV relativeFrom="margin">
              <wp14:pctHeight>0</wp14:pctHeight>
            </wp14:sizeRelV>
          </wp:anchor>
        </w:drawing>
      </w:r>
    </w:p>
    <w:p w14:paraId="3E9E78B1" w14:textId="4DCEA8F3" w:rsidR="00F8080B" w:rsidRDefault="00F8080B">
      <w:pPr>
        <w:spacing w:before="0" w:line="240" w:lineRule="auto"/>
        <w:rPr>
          <w:rFonts w:asciiTheme="majorHAnsi" w:eastAsiaTheme="majorEastAsia" w:hAnsiTheme="majorHAnsi" w:cstheme="majorBidi"/>
          <w:color w:val="2E74B5" w:themeColor="accent1" w:themeShade="BF"/>
          <w:sz w:val="32"/>
          <w:szCs w:val="32"/>
        </w:rPr>
      </w:pPr>
    </w:p>
    <w:p w14:paraId="654275B7" w14:textId="08C93D97" w:rsidR="00B5276D" w:rsidRDefault="00B5276D">
      <w:pPr>
        <w:spacing w:before="0" w:line="240" w:lineRule="auto"/>
        <w:rPr>
          <w:rFonts w:asciiTheme="majorHAnsi" w:eastAsiaTheme="majorEastAsia" w:hAnsiTheme="majorHAnsi" w:cstheme="majorBidi"/>
          <w:color w:val="2E74B5" w:themeColor="accent1" w:themeShade="BF"/>
          <w:sz w:val="32"/>
          <w:szCs w:val="32"/>
        </w:rPr>
      </w:pPr>
      <w:r>
        <w:br w:type="page"/>
      </w:r>
    </w:p>
    <w:p w14:paraId="4C52EC98" w14:textId="77777777" w:rsidR="00993C8E" w:rsidRDefault="00993C8E" w:rsidP="00C53B61">
      <w:pPr>
        <w:pStyle w:val="Heading1"/>
        <w:sectPr w:rsidR="00993C8E" w:rsidSect="00385CD7">
          <w:pgSz w:w="16838" w:h="11906" w:orient="landscape" w:code="9"/>
          <w:pgMar w:top="1080" w:right="1440" w:bottom="1080" w:left="1440" w:header="709" w:footer="0" w:gutter="0"/>
          <w:cols w:space="708"/>
          <w:titlePg/>
          <w:docGrid w:linePitch="360"/>
        </w:sectPr>
      </w:pPr>
      <w:bookmarkStart w:id="10" w:name="_Toc7171258"/>
    </w:p>
    <w:p w14:paraId="15E97E4C" w14:textId="77777777" w:rsidR="00FE1583" w:rsidRPr="004965E9" w:rsidRDefault="00FE1583" w:rsidP="004965E9">
      <w:pPr>
        <w:pStyle w:val="Heading1"/>
      </w:pPr>
      <w:bookmarkStart w:id="11" w:name="_Toc8250279"/>
      <w:r w:rsidRPr="004965E9">
        <w:lastRenderedPageBreak/>
        <w:t>Principles</w:t>
      </w:r>
      <w:bookmarkEnd w:id="11"/>
      <w:r w:rsidRPr="004965E9">
        <w:t> </w:t>
      </w:r>
    </w:p>
    <w:p w14:paraId="399EF0B8" w14:textId="635923FE" w:rsidR="00FE1583" w:rsidRPr="00FE1583" w:rsidRDefault="0034652D" w:rsidP="00FE1583">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 xml:space="preserve">The table below </w:t>
      </w:r>
      <w:r w:rsidR="0053157E">
        <w:rPr>
          <w:rFonts w:ascii="Calibri" w:eastAsia="Times New Roman" w:hAnsi="Calibri" w:cs="Calibri"/>
          <w:lang w:val="en-GB" w:eastAsia="en-GB"/>
        </w:rPr>
        <w:t xml:space="preserve">provides </w:t>
      </w:r>
      <w:r>
        <w:rPr>
          <w:rFonts w:ascii="Calibri" w:eastAsia="Times New Roman" w:hAnsi="Calibri" w:cs="Calibri"/>
          <w:lang w:val="en-GB" w:eastAsia="en-GB"/>
        </w:rPr>
        <w:t xml:space="preserve">an overview of each of the four </w:t>
      </w:r>
      <w:r w:rsidR="00FE1583" w:rsidRPr="00FE1583">
        <w:rPr>
          <w:rFonts w:ascii="Calibri" w:eastAsia="Times New Roman" w:hAnsi="Calibri" w:cs="Calibri"/>
          <w:lang w:val="en-GB" w:eastAsia="en-GB"/>
        </w:rPr>
        <w:t xml:space="preserve">key principles used by the DSB </w:t>
      </w:r>
      <w:r>
        <w:rPr>
          <w:rFonts w:ascii="Calibri" w:eastAsia="Times New Roman" w:hAnsi="Calibri" w:cs="Calibri"/>
          <w:lang w:val="en-GB" w:eastAsia="en-GB"/>
        </w:rPr>
        <w:t xml:space="preserve">when </w:t>
      </w:r>
      <w:r w:rsidR="00FE1583" w:rsidRPr="00FE1583">
        <w:rPr>
          <w:rFonts w:ascii="Calibri" w:eastAsia="Times New Roman" w:hAnsi="Calibri" w:cs="Calibri"/>
          <w:lang w:val="en-GB" w:eastAsia="en-GB"/>
        </w:rPr>
        <w:t>develop</w:t>
      </w:r>
      <w:r>
        <w:rPr>
          <w:rFonts w:ascii="Calibri" w:eastAsia="Times New Roman" w:hAnsi="Calibri" w:cs="Calibri"/>
          <w:lang w:val="en-GB" w:eastAsia="en-GB"/>
        </w:rPr>
        <w:t>ing</w:t>
      </w:r>
      <w:r w:rsidR="00FE1583" w:rsidRPr="00FE1583">
        <w:rPr>
          <w:rFonts w:ascii="Calibri" w:eastAsia="Times New Roman" w:hAnsi="Calibri" w:cs="Calibri"/>
          <w:lang w:val="en-GB" w:eastAsia="en-GB"/>
        </w:rPr>
        <w:t xml:space="preserve"> the fee model.   </w:t>
      </w:r>
    </w:p>
    <w:tbl>
      <w:tblPr>
        <w:tblStyle w:val="GridTable5Dark-Accent1"/>
        <w:tblW w:w="0" w:type="auto"/>
        <w:tblLook w:val="04A0" w:firstRow="1" w:lastRow="0" w:firstColumn="1" w:lastColumn="0" w:noHBand="0" w:noVBand="1"/>
      </w:tblPr>
      <w:tblGrid>
        <w:gridCol w:w="1361"/>
        <w:gridCol w:w="7729"/>
      </w:tblGrid>
      <w:tr w:rsidR="00FE1583" w:rsidRPr="004965E9" w14:paraId="343CD228" w14:textId="77777777" w:rsidTr="00004DB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18584C8" w14:textId="77777777" w:rsidR="00FE1583" w:rsidRPr="004965E9" w:rsidRDefault="00FE1583" w:rsidP="00004DB5">
            <w:pPr>
              <w:spacing w:before="0" w:after="120" w:line="276" w:lineRule="auto"/>
              <w:textAlignment w:val="baseline"/>
              <w:rPr>
                <w:rFonts w:eastAsia="Times New Roman" w:cstheme="minorHAnsi"/>
                <w:b w:val="0"/>
                <w:bCs w:val="0"/>
                <w:color w:val="FFFFFF"/>
                <w:lang w:val="en-GB" w:eastAsia="en-GB"/>
              </w:rPr>
            </w:pPr>
            <w:r w:rsidRPr="004965E9">
              <w:rPr>
                <w:rFonts w:eastAsia="Times New Roman" w:cstheme="minorHAnsi"/>
                <w:color w:val="FFFFFF"/>
                <w:lang w:val="en-GB" w:eastAsia="en-GB"/>
              </w:rPr>
              <w:t>Principle </w:t>
            </w:r>
          </w:p>
        </w:tc>
        <w:tc>
          <w:tcPr>
            <w:tcW w:w="7729" w:type="dxa"/>
            <w:vAlign w:val="center"/>
            <w:hideMark/>
          </w:tcPr>
          <w:p w14:paraId="1A43C081" w14:textId="77777777" w:rsidR="00FE1583" w:rsidRPr="004965E9" w:rsidRDefault="00FE1583" w:rsidP="00004DB5">
            <w:pPr>
              <w:spacing w:before="0"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4965E9">
              <w:rPr>
                <w:rFonts w:eastAsia="Times New Roman" w:cstheme="minorHAnsi"/>
                <w:color w:val="FFFFFF"/>
                <w:lang w:val="en-GB" w:eastAsia="en-GB"/>
              </w:rPr>
              <w:t>Brief Description </w:t>
            </w:r>
          </w:p>
        </w:tc>
      </w:tr>
      <w:tr w:rsidR="00FE1583" w:rsidRPr="004965E9" w14:paraId="0D5A9D0E" w14:textId="77777777" w:rsidTr="00004DB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C571257" w14:textId="77777777" w:rsidR="00FE1583" w:rsidRPr="004965E9" w:rsidRDefault="00FE1583" w:rsidP="00004DB5">
            <w:pPr>
              <w:spacing w:before="0" w:after="120" w:line="276" w:lineRule="auto"/>
              <w:textAlignment w:val="baseline"/>
              <w:rPr>
                <w:rFonts w:eastAsia="Times New Roman" w:cstheme="minorHAnsi"/>
                <w:lang w:val="en-GB" w:eastAsia="en-GB"/>
              </w:rPr>
            </w:pPr>
            <w:r w:rsidRPr="004965E9">
              <w:rPr>
                <w:rFonts w:eastAsia="Times New Roman" w:cstheme="minorHAnsi"/>
                <w:lang w:val="en-GB" w:eastAsia="en-GB"/>
              </w:rPr>
              <w:t>Cost Recovery </w:t>
            </w:r>
          </w:p>
        </w:tc>
        <w:tc>
          <w:tcPr>
            <w:tcW w:w="7729" w:type="dxa"/>
            <w:vAlign w:val="center"/>
            <w:hideMark/>
          </w:tcPr>
          <w:p w14:paraId="536743DC" w14:textId="77777777" w:rsidR="00FE1583" w:rsidRPr="004965E9" w:rsidRDefault="00FE1583" w:rsidP="00004DB5">
            <w:pPr>
              <w:spacing w:before="24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will provide all numbering agency services on a cost recovery basis. </w:t>
            </w:r>
          </w:p>
          <w:p w14:paraId="3BA327DD" w14:textId="77777777" w:rsidR="00FE1583" w:rsidRPr="004965E9" w:rsidRDefault="00FE1583" w:rsidP="00004DB5">
            <w:pPr>
              <w:spacing w:before="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 xml:space="preserve">From the DSB’s perspective, this means that the revenues must be </w:t>
            </w:r>
            <w:proofErr w:type="gramStart"/>
            <w:r w:rsidRPr="004965E9">
              <w:rPr>
                <w:rFonts w:eastAsia="Times New Roman" w:cstheme="minorHAnsi"/>
                <w:lang w:val="en-GB" w:eastAsia="en-GB"/>
              </w:rPr>
              <w:t>sufficient</w:t>
            </w:r>
            <w:proofErr w:type="gramEnd"/>
            <w:r w:rsidRPr="004965E9">
              <w:rPr>
                <w:rFonts w:eastAsia="Times New Roman" w:cstheme="minorHAnsi"/>
                <w:lang w:val="en-GB" w:eastAsia="en-GB"/>
              </w:rPr>
              <w:t xml:space="preserve"> to ensure that the numbering agency has the financial viability to meet its continuing obligation to provide these services. </w:t>
            </w:r>
          </w:p>
          <w:p w14:paraId="7D3D140F" w14:textId="77777777" w:rsidR="00FE1583" w:rsidRPr="004965E9" w:rsidRDefault="00FE1583" w:rsidP="00004DB5">
            <w:pPr>
              <w:spacing w:before="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From the user perspective, it means that the payment for these services does not profit the owners of the utility beyond its maintenance as a financially viable entity.  </w:t>
            </w:r>
          </w:p>
          <w:p w14:paraId="2B378E4B" w14:textId="77777777" w:rsidR="00FE1583" w:rsidRPr="004965E9" w:rsidRDefault="00FE1583" w:rsidP="00004DB5">
            <w:pPr>
              <w:spacing w:before="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Furthermore, the funding model needs to be sustainable, which includes the need to be efficient and reliable.  </w:t>
            </w:r>
          </w:p>
        </w:tc>
      </w:tr>
      <w:tr w:rsidR="00FE1583" w:rsidRPr="004965E9" w14:paraId="364B6EB2" w14:textId="77777777" w:rsidTr="00004DB5">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847D256" w14:textId="77777777" w:rsidR="00FE1583" w:rsidRPr="004965E9" w:rsidRDefault="00FE1583" w:rsidP="00004DB5">
            <w:pPr>
              <w:spacing w:before="0" w:after="120" w:line="276" w:lineRule="auto"/>
              <w:textAlignment w:val="baseline"/>
              <w:rPr>
                <w:rFonts w:eastAsia="Times New Roman" w:cstheme="minorHAnsi"/>
                <w:lang w:val="en-GB" w:eastAsia="en-GB"/>
              </w:rPr>
            </w:pPr>
            <w:r w:rsidRPr="004965E9">
              <w:rPr>
                <w:rFonts w:eastAsia="Times New Roman" w:cstheme="minorHAnsi"/>
                <w:lang w:val="en-GB" w:eastAsia="en-GB"/>
              </w:rPr>
              <w:t>Unrestricted Data </w:t>
            </w:r>
          </w:p>
        </w:tc>
        <w:tc>
          <w:tcPr>
            <w:tcW w:w="7729" w:type="dxa"/>
            <w:vAlign w:val="center"/>
            <w:hideMark/>
          </w:tcPr>
          <w:p w14:paraId="265D2C8C" w14:textId="77777777" w:rsidR="00FE1583" w:rsidRPr="004965E9" w:rsidRDefault="00FE1583" w:rsidP="00004DB5">
            <w:pPr>
              <w:spacing w:before="24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intends that no data associated with the definition of an ISIN will have licensing restrictions dictating usage or distribution.  </w:t>
            </w:r>
          </w:p>
          <w:p w14:paraId="5F82C1A3" w14:textId="77777777" w:rsidR="00FE1583" w:rsidRPr="004965E9" w:rsidRDefault="00FE1583" w:rsidP="00004DB5">
            <w:pPr>
              <w:spacing w:before="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If the DSB Product Committee (</w:t>
            </w:r>
            <w:hyperlink r:id="rId19" w:tgtFrame="_blank" w:history="1">
              <w:r w:rsidRPr="004965E9">
                <w:rPr>
                  <w:rFonts w:eastAsia="Times New Roman" w:cstheme="minorHAnsi"/>
                  <w:color w:val="0563C1"/>
                  <w:u w:val="single"/>
                  <w:lang w:val="en-GB" w:eastAsia="en-GB"/>
                </w:rPr>
                <w:t>http://www.anna-web.org/dsb-product-committee/</w:t>
              </w:r>
            </w:hyperlink>
            <w:r w:rsidRPr="004965E9">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FE1583" w:rsidRPr="004965E9" w14:paraId="3FAF9CAB" w14:textId="77777777" w:rsidTr="00004DB5">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06E26C66" w14:textId="77777777" w:rsidR="00FE1583" w:rsidRPr="004965E9" w:rsidRDefault="00FE1583" w:rsidP="00004DB5">
            <w:pPr>
              <w:spacing w:before="0" w:after="120" w:line="276" w:lineRule="auto"/>
              <w:textAlignment w:val="baseline"/>
              <w:rPr>
                <w:rFonts w:eastAsia="Times New Roman" w:cstheme="minorHAnsi"/>
                <w:lang w:val="en-GB" w:eastAsia="en-GB"/>
              </w:rPr>
            </w:pPr>
            <w:r w:rsidRPr="004965E9">
              <w:rPr>
                <w:rFonts w:eastAsia="Times New Roman" w:cstheme="minorHAnsi"/>
                <w:lang w:val="en-GB" w:eastAsia="en-GB"/>
              </w:rPr>
              <w:t>Open Access </w:t>
            </w:r>
          </w:p>
        </w:tc>
        <w:tc>
          <w:tcPr>
            <w:tcW w:w="7729" w:type="dxa"/>
            <w:vAlign w:val="center"/>
            <w:hideMark/>
          </w:tcPr>
          <w:p w14:paraId="37652E57" w14:textId="77777777" w:rsidR="00FE1583" w:rsidRPr="004965E9" w:rsidRDefault="00FE1583" w:rsidP="00004DB5">
            <w:pPr>
              <w:spacing w:before="24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Access to the DSB archive for consumption of OTC derivative ISINs and associated reference data will be available to all organizations and users. </w:t>
            </w:r>
          </w:p>
        </w:tc>
      </w:tr>
      <w:tr w:rsidR="00FE1583" w:rsidRPr="004965E9" w14:paraId="2E45F886" w14:textId="77777777" w:rsidTr="00004DB5">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F1A1686" w14:textId="77777777" w:rsidR="00FE1583" w:rsidRPr="004965E9" w:rsidRDefault="00FE1583" w:rsidP="00004DB5">
            <w:pPr>
              <w:spacing w:before="0" w:after="120" w:line="276" w:lineRule="auto"/>
              <w:textAlignment w:val="baseline"/>
              <w:rPr>
                <w:rFonts w:eastAsia="Times New Roman" w:cstheme="minorHAnsi"/>
                <w:lang w:val="en-GB" w:eastAsia="en-GB"/>
              </w:rPr>
            </w:pPr>
            <w:r w:rsidRPr="004965E9">
              <w:rPr>
                <w:rFonts w:eastAsia="Times New Roman" w:cstheme="minorHAnsi"/>
                <w:lang w:val="en-GB" w:eastAsia="en-GB"/>
              </w:rPr>
              <w:t>Payment in Advance </w:t>
            </w:r>
          </w:p>
        </w:tc>
        <w:tc>
          <w:tcPr>
            <w:tcW w:w="7729" w:type="dxa"/>
            <w:vAlign w:val="center"/>
            <w:hideMark/>
          </w:tcPr>
          <w:p w14:paraId="36DEFAAE" w14:textId="77777777" w:rsidR="00FE1583" w:rsidRPr="004965E9" w:rsidRDefault="00FE1583" w:rsidP="00004DB5">
            <w:pPr>
              <w:spacing w:before="24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To the extent possible, the DSB will levy fees through annual contracts that require payment in advance.  </w:t>
            </w:r>
          </w:p>
          <w:p w14:paraId="2343C38C" w14:textId="77777777" w:rsidR="00FE1583" w:rsidRPr="004965E9" w:rsidRDefault="00FE1583" w:rsidP="00004DB5">
            <w:pPr>
              <w:spacing w:before="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This advance yearly commitment offers the DSB more clarity in aligning fee levels with cost recovery.  </w:t>
            </w:r>
          </w:p>
          <w:p w14:paraId="79B19FA2" w14:textId="77777777" w:rsidR="00FE1583" w:rsidRPr="004965E9" w:rsidRDefault="00FE1583" w:rsidP="00004DB5">
            <w:pPr>
              <w:spacing w:before="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For the users, it provides improved ability to forecast their costs for utilising ISIN services </w:t>
            </w:r>
          </w:p>
        </w:tc>
      </w:tr>
    </w:tbl>
    <w:p w14:paraId="345B3F23" w14:textId="4B3506CE" w:rsidR="001A3FBD" w:rsidRDefault="001A3FBD" w:rsidP="004965E9">
      <w:pPr>
        <w:pStyle w:val="Heading1"/>
      </w:pPr>
      <w:bookmarkStart w:id="12" w:name="_Toc8250280"/>
      <w:r>
        <w:lastRenderedPageBreak/>
        <w:t>Utilization of the DSB</w:t>
      </w:r>
      <w:bookmarkEnd w:id="10"/>
      <w:bookmarkEnd w:id="12"/>
    </w:p>
    <w:p w14:paraId="1EB35A4E" w14:textId="494F9F79" w:rsidR="0060473D" w:rsidRDefault="001351E5" w:rsidP="00126C3C">
      <w:pPr>
        <w:spacing w:before="120" w:after="120" w:line="276" w:lineRule="auto"/>
      </w:pPr>
      <w:r>
        <w:t xml:space="preserve">In 18 months of service, </w:t>
      </w:r>
      <w:r w:rsidR="00632165">
        <w:t>118 fee paying users</w:t>
      </w:r>
      <w:r w:rsidR="00632165">
        <w:rPr>
          <w:rStyle w:val="FootnoteReference"/>
        </w:rPr>
        <w:footnoteReference w:id="2"/>
      </w:r>
      <w:r w:rsidR="00A9504C">
        <w:t xml:space="preserve"> have created over 21 million OTC </w:t>
      </w:r>
      <w:r w:rsidR="0095544C">
        <w:t>derivative ISINs, with the sell-side driving the vast majority of ISIN creation activity</w:t>
      </w:r>
      <w:r w:rsidR="00765FD3">
        <w:t xml:space="preserve"> </w:t>
      </w:r>
      <w:r w:rsidR="002D3501">
        <w:t xml:space="preserve">and over 420 firms </w:t>
      </w:r>
      <w:r w:rsidR="00765FD3">
        <w:t>directly consuming</w:t>
      </w:r>
      <w:r w:rsidR="00DE3A7F">
        <w:t xml:space="preserve"> OTC ISIN data</w:t>
      </w:r>
      <w:r w:rsidR="00AC626A">
        <w:rPr>
          <w:rStyle w:val="FootnoteReference"/>
        </w:rPr>
        <w:footnoteReference w:id="3"/>
      </w:r>
      <w:r w:rsidR="00DE3A7F">
        <w:t xml:space="preserve"> – via access to end of day data or searching for O</w:t>
      </w:r>
      <w:r w:rsidR="0060473D">
        <w:t xml:space="preserve">TC reference data information. </w:t>
      </w:r>
    </w:p>
    <w:p w14:paraId="274AD4E3" w14:textId="02324368" w:rsidR="007354AF" w:rsidRDefault="00AD6627" w:rsidP="00AE159D">
      <w:pPr>
        <w:spacing w:before="0" w:after="120" w:line="276" w:lineRule="auto"/>
      </w:pPr>
      <w:r>
        <w:t xml:space="preserve">The DSB launched its production service with </w:t>
      </w:r>
      <w:r w:rsidR="00862853">
        <w:t>8</w:t>
      </w:r>
      <w:r w:rsidR="00082026">
        <w:t>3</w:t>
      </w:r>
      <w:r>
        <w:t xml:space="preserve"> </w:t>
      </w:r>
      <w:r w:rsidR="00E54068">
        <w:t xml:space="preserve">product definition templates available for use, expanded to </w:t>
      </w:r>
      <w:r w:rsidR="002F500B">
        <w:t>8</w:t>
      </w:r>
      <w:r w:rsidR="00823499">
        <w:t>7</w:t>
      </w:r>
      <w:r w:rsidR="00E54068">
        <w:t xml:space="preserve"> product definitions</w:t>
      </w:r>
      <w:r w:rsidR="00B27DA1">
        <w:t xml:space="preserve"> by year ending 2018</w:t>
      </w:r>
      <w:r w:rsidR="00FE0473">
        <w:t xml:space="preserve">, added a </w:t>
      </w:r>
      <w:r w:rsidR="00FE0473" w:rsidRPr="000D1542">
        <w:t>further 6 templates</w:t>
      </w:r>
      <w:r w:rsidR="00FE0473">
        <w:t xml:space="preserve"> in Q1 2019 and </w:t>
      </w:r>
      <w:r w:rsidR="00810FA5">
        <w:t xml:space="preserve">has received </w:t>
      </w:r>
      <w:hyperlink r:id="rId20" w:history="1">
        <w:r w:rsidR="00810FA5" w:rsidRPr="006E2EC1">
          <w:rPr>
            <w:rStyle w:val="Hyperlink"/>
          </w:rPr>
          <w:t>Product Committee</w:t>
        </w:r>
      </w:hyperlink>
      <w:r w:rsidR="00810FA5">
        <w:t xml:space="preserve"> approval for </w:t>
      </w:r>
      <w:r w:rsidR="00FE0473">
        <w:t xml:space="preserve">the introduction of </w:t>
      </w:r>
      <w:r w:rsidR="004A18C6">
        <w:t xml:space="preserve">at least 3 </w:t>
      </w:r>
      <w:r w:rsidR="00FE0473">
        <w:t xml:space="preserve">additional instruments </w:t>
      </w:r>
      <w:r w:rsidR="00810FA5">
        <w:t xml:space="preserve">in Q3 2019. Such developments allow the DSB to remain aligned with </w:t>
      </w:r>
      <w:r w:rsidR="007354AF">
        <w:t xml:space="preserve">product evolution in the OTC derivative markets – with expansion at direct user request. </w:t>
      </w:r>
    </w:p>
    <w:p w14:paraId="29158C55" w14:textId="26E10624" w:rsidR="00AA6E35" w:rsidRDefault="00AA6E35" w:rsidP="00AE159D">
      <w:pPr>
        <w:spacing w:before="0" w:after="120" w:line="276" w:lineRule="auto"/>
      </w:pPr>
      <w:r>
        <w:t xml:space="preserve">As </w:t>
      </w:r>
      <w:r w:rsidR="006E2EC1">
        <w:t xml:space="preserve">set out in recent </w:t>
      </w:r>
      <w:hyperlink r:id="rId21" w:history="1">
        <w:r w:rsidRPr="00AA6E35">
          <w:rPr>
            <w:rStyle w:val="Hyperlink"/>
          </w:rPr>
          <w:t>DSB blogs</w:t>
        </w:r>
      </w:hyperlink>
      <w:r>
        <w:t xml:space="preserve">, </w:t>
      </w:r>
      <w:r w:rsidR="006E2EC1">
        <w:t xml:space="preserve">the DSB serves two distinct category of users – the OTC record creators </w:t>
      </w:r>
      <w:r w:rsidR="00F0366E">
        <w:t xml:space="preserve">(table 1) </w:t>
      </w:r>
      <w:r w:rsidR="006E2EC1">
        <w:t xml:space="preserve">and </w:t>
      </w:r>
      <w:r w:rsidR="00F0366E">
        <w:t xml:space="preserve">data consumers (table 2) </w:t>
      </w:r>
      <w:r w:rsidR="006E2EC1">
        <w:t xml:space="preserve">who </w:t>
      </w:r>
      <w:r w:rsidR="00F0366E">
        <w:t>access the DSB for e</w:t>
      </w:r>
      <w:r w:rsidR="00AC55F2">
        <w:t xml:space="preserve">nd of day data </w:t>
      </w:r>
      <w:r w:rsidR="00F0366E">
        <w:t>and/ o</w:t>
      </w:r>
      <w:r w:rsidR="00AC55F2">
        <w:t xml:space="preserve">r search the DSB for all or part of the OTC record (which contains the OTC ISIN, the CFI, the FISN and </w:t>
      </w:r>
      <w:r w:rsidR="002A7EA9">
        <w:t>the full set of associated user input and derived attributes)</w:t>
      </w:r>
      <w:r w:rsidR="00AC55F2">
        <w:t xml:space="preserve">. </w:t>
      </w:r>
    </w:p>
    <w:p w14:paraId="6AF8CE2A" w14:textId="3CBB4053" w:rsidR="00AE159D" w:rsidRDefault="00D277D9" w:rsidP="001A3FBD">
      <w:pPr>
        <w:spacing w:before="0" w:line="276" w:lineRule="auto"/>
      </w:pPr>
      <w:r>
        <w:t xml:space="preserve">Table 1 (for ISIN creation activity) shows that the </w:t>
      </w:r>
      <w:proofErr w:type="gramStart"/>
      <w:r>
        <w:t>vast majority</w:t>
      </w:r>
      <w:proofErr w:type="gramEnd"/>
      <w:r>
        <w:t xml:space="preserve"> of data is produced by</w:t>
      </w:r>
      <w:r w:rsidR="00A64FC1">
        <w:t xml:space="preserve"> the sell-side, with the data in table 2 highlighting the </w:t>
      </w:r>
      <w:r w:rsidR="00D4489D">
        <w:t xml:space="preserve">comparatively </w:t>
      </w:r>
      <w:r w:rsidR="00C6612D">
        <w:t>broader range of data consumers</w:t>
      </w:r>
      <w:r w:rsidR="00D4489D">
        <w:t xml:space="preserve">, who comprise over 70% of all </w:t>
      </w:r>
      <w:r w:rsidR="00AE159D">
        <w:t>firms acceding the DSB’s services</w:t>
      </w:r>
      <w:r w:rsidR="00C6612D">
        <w:t xml:space="preserve">. </w:t>
      </w:r>
      <w:r w:rsidR="0060379D">
        <w:t xml:space="preserve">Readers seeking further detail underlying the data shown below are encouraged to review the DSB Blog available </w:t>
      </w:r>
      <w:hyperlink r:id="rId22" w:history="1">
        <w:r w:rsidR="0060379D" w:rsidRPr="0060379D">
          <w:rPr>
            <w:rStyle w:val="Hyperlink"/>
          </w:rPr>
          <w:t>here</w:t>
        </w:r>
      </w:hyperlink>
      <w:r w:rsidR="0060379D">
        <w:t xml:space="preserve">. </w:t>
      </w:r>
    </w:p>
    <w:p w14:paraId="1B764644" w14:textId="77777777" w:rsidR="00723D67" w:rsidRDefault="00723D67" w:rsidP="001A3FBD">
      <w:pPr>
        <w:spacing w:before="0" w:line="276" w:lineRule="auto"/>
      </w:pPr>
    </w:p>
    <w:p w14:paraId="1FE99071" w14:textId="5D50A833" w:rsidR="003331D6" w:rsidRDefault="003331D6" w:rsidP="001A3FBD">
      <w:pPr>
        <w:spacing w:before="0" w:line="276" w:lineRule="auto"/>
      </w:pPr>
      <w:r w:rsidRPr="00296864">
        <w:rPr>
          <w:noProof/>
          <w:lang w:val="en-GB"/>
        </w:rPr>
        <w:drawing>
          <wp:inline distT="0" distB="0" distL="0" distR="0" wp14:anchorId="778DC343" wp14:editId="351760BA">
            <wp:extent cx="5634000" cy="33768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B Mar 19 creates by asset class and institution type.PNG"/>
                    <pic:cNvPicPr/>
                  </pic:nvPicPr>
                  <pic:blipFill>
                    <a:blip r:embed="rId23">
                      <a:extLst>
                        <a:ext uri="{28A0092B-C50C-407E-A947-70E740481C1C}">
                          <a14:useLocalDpi xmlns:a14="http://schemas.microsoft.com/office/drawing/2010/main" val="0"/>
                        </a:ext>
                      </a:extLst>
                    </a:blip>
                    <a:stretch>
                      <a:fillRect/>
                    </a:stretch>
                  </pic:blipFill>
                  <pic:spPr>
                    <a:xfrm>
                      <a:off x="0" y="0"/>
                      <a:ext cx="5634000" cy="3376800"/>
                    </a:xfrm>
                    <a:prstGeom prst="rect">
                      <a:avLst/>
                    </a:prstGeom>
                  </pic:spPr>
                </pic:pic>
              </a:graphicData>
            </a:graphic>
          </wp:inline>
        </w:drawing>
      </w:r>
    </w:p>
    <w:p w14:paraId="7A519EEF" w14:textId="53DF5ECA" w:rsidR="003331D6" w:rsidRDefault="003331D6" w:rsidP="00113DC1">
      <w:pPr>
        <w:spacing w:before="120" w:line="276" w:lineRule="auto"/>
      </w:pPr>
      <w:r>
        <w:t xml:space="preserve">Table 1: </w:t>
      </w:r>
      <w:r w:rsidR="00A922E6">
        <w:t xml:space="preserve">Types of firms creating </w:t>
      </w:r>
      <w:r w:rsidR="00F8080B">
        <w:t xml:space="preserve">OTC </w:t>
      </w:r>
      <w:r>
        <w:t>ISIN</w:t>
      </w:r>
      <w:r w:rsidR="00A922E6">
        <w:t>s</w:t>
      </w:r>
      <w:r w:rsidR="00113DC1">
        <w:t xml:space="preserve"> and/or CFI codes </w:t>
      </w:r>
    </w:p>
    <w:p w14:paraId="4D17FAD8" w14:textId="2BFF02AB" w:rsidR="00F8080B" w:rsidRDefault="00F8080B" w:rsidP="001A3FBD">
      <w:pPr>
        <w:spacing w:before="0" w:line="276" w:lineRule="auto"/>
      </w:pPr>
    </w:p>
    <w:p w14:paraId="7116178F" w14:textId="6088EA20" w:rsidR="00F8080B" w:rsidRDefault="00F8080B" w:rsidP="001A3FBD">
      <w:pPr>
        <w:spacing w:before="0" w:line="276" w:lineRule="auto"/>
      </w:pPr>
      <w:r w:rsidRPr="00296864">
        <w:rPr>
          <w:noProof/>
          <w:lang w:val="en-GB"/>
        </w:rPr>
        <w:lastRenderedPageBreak/>
        <w:drawing>
          <wp:inline distT="0" distB="0" distL="0" distR="0" wp14:anchorId="5DFE9280" wp14:editId="100421CD">
            <wp:extent cx="5616000" cy="365040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B Mar 19 search by institution type.PNG"/>
                    <pic:cNvPicPr/>
                  </pic:nvPicPr>
                  <pic:blipFill>
                    <a:blip r:embed="rId24">
                      <a:extLst>
                        <a:ext uri="{28A0092B-C50C-407E-A947-70E740481C1C}">
                          <a14:useLocalDpi xmlns:a14="http://schemas.microsoft.com/office/drawing/2010/main" val="0"/>
                        </a:ext>
                      </a:extLst>
                    </a:blip>
                    <a:stretch>
                      <a:fillRect/>
                    </a:stretch>
                  </pic:blipFill>
                  <pic:spPr>
                    <a:xfrm>
                      <a:off x="0" y="0"/>
                      <a:ext cx="5616000" cy="3650400"/>
                    </a:xfrm>
                    <a:prstGeom prst="rect">
                      <a:avLst/>
                    </a:prstGeom>
                  </pic:spPr>
                </pic:pic>
              </a:graphicData>
            </a:graphic>
          </wp:inline>
        </w:drawing>
      </w:r>
    </w:p>
    <w:p w14:paraId="7F8AC6EE" w14:textId="6C986C86" w:rsidR="00F8080B" w:rsidRDefault="00F8080B" w:rsidP="00113DC1">
      <w:pPr>
        <w:spacing w:before="120" w:line="276" w:lineRule="auto"/>
      </w:pPr>
      <w:r>
        <w:t xml:space="preserve">Table 2: </w:t>
      </w:r>
      <w:r w:rsidR="00113DC1">
        <w:t xml:space="preserve">Types of firms directly </w:t>
      </w:r>
      <w:r w:rsidR="00833DAC">
        <w:t xml:space="preserve">connected to </w:t>
      </w:r>
      <w:r w:rsidR="00113DC1">
        <w:t xml:space="preserve">the DSB to search for </w:t>
      </w:r>
      <w:r w:rsidR="00A922E6">
        <w:t xml:space="preserve">OTC </w:t>
      </w:r>
      <w:r>
        <w:t xml:space="preserve">ISIN </w:t>
      </w:r>
      <w:r w:rsidR="00113DC1">
        <w:t xml:space="preserve">and CFI data </w:t>
      </w:r>
    </w:p>
    <w:p w14:paraId="200D76B5" w14:textId="4CE654D6" w:rsidR="00AA593B" w:rsidRDefault="004E08A9" w:rsidP="00A426E5">
      <w:pPr>
        <w:spacing w:before="120" w:after="120" w:line="276" w:lineRule="auto"/>
      </w:pPr>
      <w:r>
        <w:t xml:space="preserve">As table 2 shows, </w:t>
      </w:r>
      <w:r w:rsidR="00C5381B">
        <w:t xml:space="preserve">with over 420 firms connected to the DSB and 118 paying to use the service, </w:t>
      </w:r>
      <w:r>
        <w:t>m</w:t>
      </w:r>
      <w:r w:rsidR="00AC6D79">
        <w:t>ost DSB users</w:t>
      </w:r>
      <w:r w:rsidR="00AA593B">
        <w:t xml:space="preserve"> connect with the service free of cost </w:t>
      </w:r>
      <w:r w:rsidR="0073295C">
        <w:t xml:space="preserve">to search for and download the </w:t>
      </w:r>
      <w:r w:rsidR="003A494F">
        <w:t>machine-readable</w:t>
      </w:r>
      <w:r>
        <w:t xml:space="preserve"> </w:t>
      </w:r>
      <w:r w:rsidR="0073295C">
        <w:t xml:space="preserve">OTC </w:t>
      </w:r>
      <w:r w:rsidR="00E161EC">
        <w:t>r</w:t>
      </w:r>
      <w:r w:rsidR="0073295C">
        <w:t xml:space="preserve">ecord </w:t>
      </w:r>
      <w:r>
        <w:t xml:space="preserve">for use in their internal systems. </w:t>
      </w:r>
    </w:p>
    <w:p w14:paraId="117559AA" w14:textId="0323467F" w:rsidR="00716024" w:rsidRDefault="00716024" w:rsidP="00A067E1">
      <w:pPr>
        <w:spacing w:before="0" w:after="120" w:line="276" w:lineRule="auto"/>
      </w:pPr>
      <w:r>
        <w:t>The DSB was set up to provide an OTC ISIN and the associated ISIN record to facilitate reference data reporting</w:t>
      </w:r>
      <w:r w:rsidR="00A067E1">
        <w:t xml:space="preserve">, a part of MiFID ii. In addition to offering OTC ISIN data, the DSB has also provided CFI </w:t>
      </w:r>
      <w:r w:rsidR="00AC6D79">
        <w:t>codes within each OTC ISIN record – with use of the CFI garnering increased interest from the sell-side</w:t>
      </w:r>
      <w:r w:rsidR="003A494F">
        <w:t xml:space="preserve"> and a growing driver for the additional product templates being provided by the DSB</w:t>
      </w:r>
      <w:r w:rsidR="00AC6D79">
        <w:t xml:space="preserve">. </w:t>
      </w:r>
      <w:r w:rsidR="00A067E1">
        <w:t xml:space="preserve"> </w:t>
      </w:r>
    </w:p>
    <w:p w14:paraId="2D88B926" w14:textId="77777777" w:rsidR="00E64F0D" w:rsidRDefault="00E64F0D" w:rsidP="00E64F0D">
      <w:pPr>
        <w:spacing w:before="0" w:line="276" w:lineRule="auto"/>
      </w:pPr>
      <w:r>
        <w:t xml:space="preserve">2018 was a busy year for the DSB, with the following changes delivered to market and the results of last year’s consultation have in turn fed into the DSB’s 2019 book of work. The DSB delivered the following in 2018: </w:t>
      </w:r>
    </w:p>
    <w:p w14:paraId="7133C0F1" w14:textId="77777777" w:rsidR="00E64F0D" w:rsidRDefault="00E64F0D" w:rsidP="00E64F0D">
      <w:pPr>
        <w:pStyle w:val="ListParagraph"/>
        <w:numPr>
          <w:ilvl w:val="0"/>
          <w:numId w:val="17"/>
        </w:numPr>
        <w:spacing w:before="0" w:line="276" w:lineRule="auto"/>
      </w:pPr>
      <w:r w:rsidRPr="00887961">
        <w:t xml:space="preserve">10+ </w:t>
      </w:r>
      <w:r>
        <w:t>major service enhancements including delivery of ToTV functionality for non-OTC ISINs</w:t>
      </w:r>
    </w:p>
    <w:p w14:paraId="697DCB18" w14:textId="138CBF9E" w:rsidR="00E64F0D" w:rsidRDefault="00E64F0D" w:rsidP="00E64F0D">
      <w:pPr>
        <w:pStyle w:val="ListParagraph"/>
        <w:numPr>
          <w:ilvl w:val="0"/>
          <w:numId w:val="17"/>
        </w:numPr>
        <w:spacing w:before="0" w:line="276" w:lineRule="auto"/>
      </w:pPr>
      <w:r>
        <w:t>9</w:t>
      </w:r>
      <w:r w:rsidRPr="00887961">
        <w:t xml:space="preserve"> product templates launched </w:t>
      </w:r>
    </w:p>
    <w:p w14:paraId="19E54724" w14:textId="77777777" w:rsidR="00E64F0D" w:rsidRDefault="00E64F0D" w:rsidP="00E64F0D">
      <w:pPr>
        <w:pStyle w:val="ListParagraph"/>
        <w:numPr>
          <w:ilvl w:val="0"/>
          <w:numId w:val="17"/>
        </w:numPr>
        <w:spacing w:before="0" w:line="276" w:lineRule="auto"/>
      </w:pPr>
      <w:r w:rsidRPr="00887961">
        <w:t xml:space="preserve">3 rounds of industry consultation </w:t>
      </w:r>
      <w:r>
        <w:t>delivered in alignment with the announced timeline</w:t>
      </w:r>
    </w:p>
    <w:p w14:paraId="0BE6E761" w14:textId="77777777" w:rsidR="00E64F0D" w:rsidRDefault="00E64F0D" w:rsidP="00E64F0D">
      <w:pPr>
        <w:pStyle w:val="ListParagraph"/>
        <w:numPr>
          <w:ilvl w:val="0"/>
          <w:numId w:val="17"/>
        </w:numPr>
        <w:spacing w:before="0" w:line="276" w:lineRule="auto"/>
      </w:pPr>
      <w:r w:rsidRPr="00887961">
        <w:t xml:space="preserve">Introduction of 24-hour turn-around for proprietary index availability </w:t>
      </w:r>
    </w:p>
    <w:p w14:paraId="344729AA" w14:textId="77777777" w:rsidR="00E64F0D" w:rsidRDefault="00E64F0D" w:rsidP="00E64F0D">
      <w:pPr>
        <w:pStyle w:val="ListParagraph"/>
        <w:numPr>
          <w:ilvl w:val="0"/>
          <w:numId w:val="17"/>
        </w:numPr>
        <w:spacing w:before="0" w:line="276" w:lineRule="auto"/>
      </w:pPr>
      <w:r w:rsidRPr="00887961">
        <w:t xml:space="preserve">Introduction of the DSB Challenge and Change Request Process </w:t>
      </w:r>
    </w:p>
    <w:p w14:paraId="291625CB" w14:textId="77777777" w:rsidR="00E64F0D" w:rsidRDefault="00E64F0D" w:rsidP="00E64F0D">
      <w:pPr>
        <w:pStyle w:val="ListParagraph"/>
        <w:numPr>
          <w:ilvl w:val="0"/>
          <w:numId w:val="17"/>
        </w:numPr>
        <w:spacing w:before="0" w:line="276" w:lineRule="auto"/>
      </w:pPr>
      <w:r w:rsidRPr="00887961">
        <w:t>Review of work to support RTS-</w:t>
      </w:r>
      <w:proofErr w:type="gramStart"/>
      <w:r w:rsidRPr="00887961">
        <w:t>23.Field</w:t>
      </w:r>
      <w:proofErr w:type="gramEnd"/>
      <w:r w:rsidRPr="00887961">
        <w:t xml:space="preserve"> 41 enhancements</w:t>
      </w:r>
      <w:r>
        <w:t xml:space="preserve"> required by ESMA</w:t>
      </w:r>
      <w:r w:rsidRPr="00887961">
        <w:t xml:space="preserve">, including creation of a Field 41 FAQ document and a request for the development of a tenor calculator to facilitate industry consistency in broken-dated scenarios </w:t>
      </w:r>
    </w:p>
    <w:p w14:paraId="51B497B7" w14:textId="77777777" w:rsidR="00E64F0D" w:rsidRDefault="00E64F0D" w:rsidP="00E64F0D">
      <w:pPr>
        <w:pStyle w:val="ListParagraph"/>
        <w:numPr>
          <w:ilvl w:val="0"/>
          <w:numId w:val="17"/>
        </w:numPr>
        <w:spacing w:before="0" w:after="120" w:line="276" w:lineRule="auto"/>
        <w:ind w:left="714" w:hanging="357"/>
        <w:contextualSpacing w:val="0"/>
      </w:pPr>
      <w:r>
        <w:t>Proactive e</w:t>
      </w:r>
      <w:r w:rsidRPr="00887961">
        <w:t xml:space="preserve">nhancement of various data validation and enrichment rules </w:t>
      </w:r>
    </w:p>
    <w:p w14:paraId="2FBAFFF6" w14:textId="513FCDEE" w:rsidR="00A60AF3" w:rsidRDefault="00490EFC">
      <w:pPr>
        <w:spacing w:before="0" w:line="240" w:lineRule="auto"/>
        <w:rPr>
          <w:rFonts w:asciiTheme="majorHAnsi" w:eastAsiaTheme="majorEastAsia" w:hAnsiTheme="majorHAnsi" w:cstheme="majorBidi"/>
          <w:color w:val="2E74B5" w:themeColor="accent1" w:themeShade="BF"/>
          <w:sz w:val="32"/>
          <w:szCs w:val="32"/>
        </w:rPr>
      </w:pPr>
      <w:proofErr w:type="gramStart"/>
      <w:r>
        <w:t>In light of</w:t>
      </w:r>
      <w:proofErr w:type="gramEnd"/>
      <w:r>
        <w:t xml:space="preserve"> the broad spectrum of institutions utilizing the DSB, it is hoped that </w:t>
      </w:r>
      <w:r w:rsidR="004D316D">
        <w:t xml:space="preserve">a representative set of firms will seek to respond to this consultation. </w:t>
      </w:r>
      <w:r w:rsidR="00AF782F">
        <w:t xml:space="preserve">All responses should be submitted to the DSB Secretariat at </w:t>
      </w:r>
      <w:hyperlink r:id="rId25" w:history="1">
        <w:r w:rsidR="005625E0">
          <w:rPr>
            <w:rStyle w:val="Hyperlink"/>
          </w:rPr>
          <w:t>industry_consultation@anna-dsb.com</w:t>
        </w:r>
      </w:hyperlink>
      <w:r w:rsidR="005625E0">
        <w:t> </w:t>
      </w:r>
      <w:r w:rsidR="00AF782F">
        <w:t xml:space="preserve"> no later than 5pm UTC on Wednesday 5</w:t>
      </w:r>
      <w:r w:rsidR="00AF782F" w:rsidRPr="00AF782F">
        <w:rPr>
          <w:vertAlign w:val="superscript"/>
        </w:rPr>
        <w:t>th</w:t>
      </w:r>
      <w:r w:rsidR="00AF782F">
        <w:t xml:space="preserve"> June 2019. </w:t>
      </w:r>
      <w:r w:rsidR="00A60AF3">
        <w:br w:type="page"/>
      </w:r>
    </w:p>
    <w:p w14:paraId="0D3114F9" w14:textId="0C7997A3" w:rsidR="006B66C2" w:rsidRDefault="006B66C2" w:rsidP="004965E9">
      <w:pPr>
        <w:pStyle w:val="Heading1"/>
      </w:pPr>
      <w:bookmarkStart w:id="13" w:name="_Toc7171259"/>
      <w:bookmarkStart w:id="14" w:name="_Toc8250281"/>
      <w:r>
        <w:lastRenderedPageBreak/>
        <w:t>Consultation Questions</w:t>
      </w:r>
      <w:bookmarkEnd w:id="13"/>
      <w:bookmarkEnd w:id="14"/>
      <w:r>
        <w:t xml:space="preserve"> </w:t>
      </w:r>
    </w:p>
    <w:p w14:paraId="3136E304" w14:textId="7C475C75" w:rsidR="00D328DE" w:rsidRDefault="00D328DE" w:rsidP="00126C3C">
      <w:pPr>
        <w:spacing w:before="120" w:after="120" w:line="276" w:lineRule="auto"/>
      </w:pPr>
      <w:r>
        <w:t xml:space="preserve">The following questions </w:t>
      </w:r>
      <w:r w:rsidR="00C622C1">
        <w:t>focus on</w:t>
      </w:r>
      <w:r>
        <w:t xml:space="preserve"> areas of </w:t>
      </w:r>
      <w:r w:rsidR="00C622C1">
        <w:t xml:space="preserve">service and </w:t>
      </w:r>
      <w:r>
        <w:t>functionality</w:t>
      </w:r>
      <w:r w:rsidR="00C622C1">
        <w:t xml:space="preserve"> including </w:t>
      </w:r>
      <w:r>
        <w:t xml:space="preserve">data submission </w:t>
      </w:r>
      <w:r w:rsidR="00C622C1">
        <w:t>processes</w:t>
      </w:r>
      <w:r w:rsidR="00A426E5">
        <w:t>,</w:t>
      </w:r>
      <w:r>
        <w:t xml:space="preserve"> service levels</w:t>
      </w:r>
      <w:r w:rsidR="00A426E5">
        <w:t>,</w:t>
      </w:r>
      <w:r>
        <w:t xml:space="preserve"> service availability and cybersecurity where user feedback and requests have been received since the DSB’s annual consultation in 2018.</w:t>
      </w:r>
    </w:p>
    <w:p w14:paraId="4633FCE6" w14:textId="2597CCCB" w:rsidR="00642831" w:rsidRDefault="005D5349" w:rsidP="00823499">
      <w:pPr>
        <w:spacing w:before="0" w:after="120" w:line="276" w:lineRule="auto"/>
      </w:pPr>
      <w:r>
        <w:t xml:space="preserve">In March </w:t>
      </w:r>
      <w:r w:rsidR="00D328DE">
        <w:t xml:space="preserve">2019, the </w:t>
      </w:r>
      <w:r w:rsidR="00F647E0">
        <w:t xml:space="preserve">DSB </w:t>
      </w:r>
      <w:r w:rsidR="00577B47">
        <w:t xml:space="preserve">conducted </w:t>
      </w:r>
      <w:r w:rsidR="00642831">
        <w:t xml:space="preserve">a user fee survey </w:t>
      </w:r>
      <w:r w:rsidR="00224163">
        <w:t xml:space="preserve">to garner user views on </w:t>
      </w:r>
      <w:r w:rsidR="00224163" w:rsidRPr="00224163">
        <w:t xml:space="preserve">the existing fee model timeline and annual review cycle. The </w:t>
      </w:r>
      <w:r w:rsidR="00224163">
        <w:t>s</w:t>
      </w:r>
      <w:r w:rsidR="00224163" w:rsidRPr="00224163">
        <w:t xml:space="preserve">urvey </w:t>
      </w:r>
      <w:r w:rsidR="0094430C">
        <w:t xml:space="preserve">was </w:t>
      </w:r>
      <w:r w:rsidR="00224163" w:rsidRPr="00224163">
        <w:t>designed to allow DSB users a</w:t>
      </w:r>
      <w:r w:rsidR="00C46EB1">
        <w:t xml:space="preserve">n opportunity to provide </w:t>
      </w:r>
      <w:r w:rsidR="00224163" w:rsidRPr="00224163">
        <w:t xml:space="preserve">early feedback that </w:t>
      </w:r>
      <w:r w:rsidR="00577B47">
        <w:t xml:space="preserve">could </w:t>
      </w:r>
      <w:r w:rsidR="00224163" w:rsidRPr="00224163">
        <w:t xml:space="preserve">feed into the </w:t>
      </w:r>
      <w:r w:rsidR="0094430C">
        <w:t xml:space="preserve">DSB’s Group Wide User Agreement Forum and </w:t>
      </w:r>
      <w:r w:rsidR="00577B47">
        <w:t xml:space="preserve">downstream </w:t>
      </w:r>
      <w:r w:rsidR="00224163" w:rsidRPr="00224163">
        <w:t>consultation process</w:t>
      </w:r>
      <w:r w:rsidR="00706BA4">
        <w:t>es</w:t>
      </w:r>
      <w:r w:rsidR="0094430C">
        <w:t xml:space="preserve">. </w:t>
      </w:r>
    </w:p>
    <w:p w14:paraId="0E5DC19E" w14:textId="1CF71EC1" w:rsidR="003B7FD3" w:rsidRDefault="003B7FD3" w:rsidP="00823499">
      <w:pPr>
        <w:spacing w:before="0" w:after="120" w:line="276" w:lineRule="auto"/>
      </w:pPr>
      <w:r w:rsidRPr="003B7FD3">
        <w:t xml:space="preserve">Reviewing contracts for group entities currently with multiple licenses, while maintaining the DSB values of representation on a fair and equitable basis within the OTC ISIN, CFI and FISN user community is a priority for the DSB. To encourage industry discussion and feedback on this topic, the DSB </w:t>
      </w:r>
      <w:r w:rsidR="00674AB1">
        <w:t>has extended invitations for participation in a</w:t>
      </w:r>
      <w:r w:rsidRPr="003B7FD3">
        <w:t xml:space="preserve"> </w:t>
      </w:r>
      <w:r w:rsidR="005625E0">
        <w:t>G</w:t>
      </w:r>
      <w:r w:rsidRPr="003B7FD3">
        <w:t>roup-</w:t>
      </w:r>
      <w:r w:rsidR="005625E0">
        <w:t>W</w:t>
      </w:r>
      <w:r w:rsidRPr="003B7FD3">
        <w:t>ide Agreement Forum to discuss possible ways to enhance the User Fee model.</w:t>
      </w:r>
      <w:r w:rsidR="003F69D9">
        <w:t xml:space="preserve"> </w:t>
      </w:r>
    </w:p>
    <w:p w14:paraId="662898F0" w14:textId="109006B2" w:rsidR="005142D9" w:rsidRDefault="002850D4" w:rsidP="00A426E5">
      <w:pPr>
        <w:spacing w:before="0" w:after="240" w:line="276" w:lineRule="auto"/>
      </w:pPr>
      <w:r>
        <w:t>Given</w:t>
      </w:r>
      <w:r w:rsidR="003F69D9">
        <w:t xml:space="preserve"> the </w:t>
      </w:r>
      <w:r w:rsidR="00C622C1">
        <w:t xml:space="preserve">parallel </w:t>
      </w:r>
      <w:r w:rsidR="003F69D9">
        <w:t xml:space="preserve">work on </w:t>
      </w:r>
      <w:r w:rsidR="00C622C1">
        <w:t xml:space="preserve">user </w:t>
      </w:r>
      <w:r w:rsidR="003F69D9">
        <w:t>fees and DSB Access and Usage Agreement</w:t>
      </w:r>
      <w:r w:rsidR="00C622C1">
        <w:t>, together with the</w:t>
      </w:r>
      <w:r w:rsidR="003F69D9">
        <w:t xml:space="preserve"> </w:t>
      </w:r>
      <w:r w:rsidR="00C622C1">
        <w:t xml:space="preserve">feedback from this </w:t>
      </w:r>
      <w:r w:rsidR="003F69D9">
        <w:t>consultation</w:t>
      </w:r>
      <w:r w:rsidR="00C622C1">
        <w:t>, a second consultation round</w:t>
      </w:r>
      <w:r w:rsidR="003F69D9">
        <w:t xml:space="preserve"> will </w:t>
      </w:r>
      <w:r w:rsidR="00C622C1">
        <w:t>follow providing further details on the proposed functionality and costs for the 2020 service provision</w:t>
      </w:r>
      <w:r w:rsidR="00490EFC">
        <w:t xml:space="preserve">. </w:t>
      </w:r>
    </w:p>
    <w:p w14:paraId="5BA9D971" w14:textId="69FD27F7" w:rsidR="005D5349" w:rsidRDefault="005D5349" w:rsidP="00A426E5">
      <w:pPr>
        <w:spacing w:before="0" w:after="240" w:line="276" w:lineRule="auto"/>
      </w:pPr>
      <w:r>
        <w:t xml:space="preserve">The questions set out below are drawn from regular user feedback to the DSB, from the DSB’s own observations in an evolving regulatory landscape and items proposed by the </w:t>
      </w:r>
      <w:hyperlink r:id="rId26" w:history="1">
        <w:r w:rsidRPr="005D5349">
          <w:rPr>
            <w:rStyle w:val="Hyperlink"/>
          </w:rPr>
          <w:t>DSB’s industry committees</w:t>
        </w:r>
      </w:hyperlink>
      <w:r>
        <w:t xml:space="preserve">. </w:t>
      </w:r>
    </w:p>
    <w:p w14:paraId="2FF31097" w14:textId="77777777" w:rsidR="00645EDD" w:rsidRDefault="00645EDD" w:rsidP="00A426E5">
      <w:pPr>
        <w:spacing w:before="0" w:after="240" w:line="276" w:lineRule="auto"/>
      </w:pPr>
    </w:p>
    <w:tbl>
      <w:tblPr>
        <w:tblStyle w:val="GridTable4-Accent1"/>
        <w:tblW w:w="9918" w:type="dxa"/>
        <w:tblLayout w:type="fixed"/>
        <w:tblLook w:val="04A0" w:firstRow="1" w:lastRow="0" w:firstColumn="1" w:lastColumn="0" w:noHBand="0" w:noVBand="1"/>
      </w:tblPr>
      <w:tblGrid>
        <w:gridCol w:w="684"/>
        <w:gridCol w:w="20"/>
        <w:gridCol w:w="532"/>
        <w:gridCol w:w="35"/>
        <w:gridCol w:w="4253"/>
        <w:gridCol w:w="4394"/>
      </w:tblGrid>
      <w:tr w:rsidR="001A4164" w:rsidRPr="00551628" w14:paraId="7BD82CAE" w14:textId="77777777" w:rsidTr="00BC639C">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236" w:type="dxa"/>
            <w:gridSpan w:val="3"/>
            <w:vAlign w:val="center"/>
          </w:tcPr>
          <w:p w14:paraId="7B1CE8D4" w14:textId="56062C38" w:rsidR="001A4164" w:rsidRPr="003248FB" w:rsidRDefault="001A4164" w:rsidP="00BC639C">
            <w:pPr>
              <w:spacing w:after="120" w:line="276" w:lineRule="auto"/>
              <w:rPr>
                <w:sz w:val="24"/>
              </w:rPr>
            </w:pPr>
            <w:r w:rsidRPr="003248FB">
              <w:rPr>
                <w:sz w:val="24"/>
              </w:rPr>
              <w:t>#</w:t>
            </w:r>
          </w:p>
        </w:tc>
        <w:tc>
          <w:tcPr>
            <w:tcW w:w="4288" w:type="dxa"/>
            <w:gridSpan w:val="2"/>
            <w:vAlign w:val="center"/>
          </w:tcPr>
          <w:p w14:paraId="1F1D10AB" w14:textId="34DE0EFA" w:rsidR="001A4164" w:rsidRPr="003248FB" w:rsidRDefault="001A4164" w:rsidP="00BC639C">
            <w:pPr>
              <w:spacing w:after="120" w:line="276" w:lineRule="auto"/>
              <w:cnfStyle w:val="100000000000" w:firstRow="1" w:lastRow="0" w:firstColumn="0" w:lastColumn="0" w:oddVBand="0" w:evenVBand="0" w:oddHBand="0" w:evenHBand="0" w:firstRowFirstColumn="0" w:firstRowLastColumn="0" w:lastRowFirstColumn="0" w:lastRowLastColumn="0"/>
              <w:rPr>
                <w:sz w:val="24"/>
              </w:rPr>
            </w:pPr>
            <w:r w:rsidRPr="003248FB">
              <w:rPr>
                <w:sz w:val="24"/>
              </w:rPr>
              <w:t>Question for Consultation</w:t>
            </w:r>
          </w:p>
        </w:tc>
        <w:tc>
          <w:tcPr>
            <w:tcW w:w="4394" w:type="dxa"/>
            <w:vAlign w:val="center"/>
          </w:tcPr>
          <w:p w14:paraId="39152924" w14:textId="60F8763C" w:rsidR="001A4164" w:rsidRPr="003248FB" w:rsidRDefault="001A4164" w:rsidP="00BC639C">
            <w:pPr>
              <w:spacing w:after="120" w:line="276" w:lineRule="auto"/>
              <w:cnfStyle w:val="100000000000" w:firstRow="1" w:lastRow="0" w:firstColumn="0" w:lastColumn="0" w:oddVBand="0" w:evenVBand="0" w:oddHBand="0" w:evenHBand="0" w:firstRowFirstColumn="0" w:firstRowLastColumn="0" w:lastRowFirstColumn="0" w:lastRowLastColumn="0"/>
              <w:rPr>
                <w:sz w:val="24"/>
              </w:rPr>
            </w:pPr>
            <w:r w:rsidRPr="003248FB">
              <w:rPr>
                <w:sz w:val="24"/>
              </w:rPr>
              <w:t>Participant’s Response</w:t>
            </w:r>
          </w:p>
        </w:tc>
      </w:tr>
      <w:tr w:rsidR="001A4164" w:rsidRPr="00551628" w14:paraId="6D9E6D8F" w14:textId="77777777" w:rsidTr="00BC63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22E606C5" w14:textId="2CE31C90" w:rsidR="001A4164" w:rsidRPr="00A45848" w:rsidRDefault="001A4164" w:rsidP="00BC639C">
            <w:pPr>
              <w:pStyle w:val="Heading2"/>
              <w:numPr>
                <w:ilvl w:val="0"/>
                <w:numId w:val="0"/>
              </w:numPr>
              <w:spacing w:before="60" w:after="120" w:line="276" w:lineRule="auto"/>
              <w:outlineLvl w:val="1"/>
              <w:rPr>
                <w:rStyle w:val="IntenseReference"/>
                <w:rFonts w:asciiTheme="minorHAnsi" w:eastAsiaTheme="minorHAnsi" w:hAnsiTheme="minorHAnsi" w:cstheme="minorBidi"/>
                <w:b/>
                <w:bCs/>
                <w:sz w:val="22"/>
                <w:szCs w:val="22"/>
                <w:lang w:val="en-US"/>
              </w:rPr>
            </w:pPr>
            <w:bookmarkStart w:id="15" w:name="_Toc7171260"/>
            <w:bookmarkStart w:id="16" w:name="_Toc8250282"/>
            <w:r w:rsidRPr="00DF200D">
              <w:rPr>
                <w:rStyle w:val="IntenseReference"/>
                <w:b/>
                <w:color w:val="FFFFFF" w:themeColor="background1"/>
              </w:rPr>
              <w:t xml:space="preserve">Section 1: </w:t>
            </w:r>
            <w:r w:rsidR="00A45848" w:rsidRPr="00DF200D">
              <w:rPr>
                <w:rStyle w:val="IntenseReference"/>
                <w:b/>
                <w:color w:val="FFFFFF" w:themeColor="background1"/>
              </w:rPr>
              <w:t>FUNCTIONALITY</w:t>
            </w:r>
            <w:bookmarkEnd w:id="15"/>
            <w:bookmarkEnd w:id="16"/>
          </w:p>
        </w:tc>
      </w:tr>
      <w:tr w:rsidR="00DD21A3" w:rsidRPr="00551628" w14:paraId="3D349A79" w14:textId="77777777" w:rsidTr="008B7E3D">
        <w:trPr>
          <w:trHeight w:val="2678"/>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886E18D" w14:textId="6D02B6FF" w:rsidR="00DD21A3" w:rsidRPr="00551628" w:rsidRDefault="00DD21A3" w:rsidP="00BC639C">
            <w:pPr>
              <w:spacing w:after="120" w:line="276" w:lineRule="auto"/>
            </w:pPr>
            <w:r>
              <w:t>1.1</w:t>
            </w:r>
          </w:p>
        </w:tc>
        <w:tc>
          <w:tcPr>
            <w:tcW w:w="4840" w:type="dxa"/>
            <w:gridSpan w:val="4"/>
            <w:vAlign w:val="center"/>
          </w:tcPr>
          <w:p w14:paraId="6669BFF3" w14:textId="2DCEFA20" w:rsidR="00A84046" w:rsidRPr="00A84046" w:rsidRDefault="00A84046" w:rsidP="00A84046">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A84046">
              <w:rPr>
                <w:color w:val="000000"/>
              </w:rPr>
              <w:t xml:space="preserve">The DSB was originally set up specifically to generate OTC ISINs to meet industry’s needs for MiFID II RTS 22 / 23 transaction reporting.  </w:t>
            </w:r>
          </w:p>
          <w:p w14:paraId="01F5C3D1" w14:textId="49863E07" w:rsidR="00A84046" w:rsidRPr="00A84046" w:rsidRDefault="00A84046" w:rsidP="00A84046">
            <w:pPr>
              <w:spacing w:before="0"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A84046">
              <w:rPr>
                <w:color w:val="000000"/>
              </w:rPr>
              <w:t>Some DSB users have expanded their use of the DSB service for additional regulatory purposes such as generation of CFI codes for EMIR reporting. However, the DSB implementation to support EMIR has been ad-hoc and is not comprehensive</w:t>
            </w:r>
            <w:r w:rsidR="00B0092E">
              <w:rPr>
                <w:color w:val="000000"/>
              </w:rPr>
              <w:t>, given the initial focus on OTC ISIN coverage</w:t>
            </w:r>
            <w:r>
              <w:rPr>
                <w:color w:val="000000"/>
              </w:rPr>
              <w:t>.</w:t>
            </w:r>
          </w:p>
          <w:p w14:paraId="5ECBDD31" w14:textId="4B223481" w:rsidR="005D5349" w:rsidRDefault="00A84046" w:rsidP="007106AA">
            <w:pPr>
              <w:spacing w:before="0"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A84046">
              <w:rPr>
                <w:color w:val="000000"/>
              </w:rPr>
              <w:t xml:space="preserve">The DSB </w:t>
            </w:r>
            <w:r>
              <w:rPr>
                <w:color w:val="000000"/>
              </w:rPr>
              <w:t xml:space="preserve">would therefore like to </w:t>
            </w:r>
            <w:r w:rsidR="005C726B">
              <w:rPr>
                <w:color w:val="000000"/>
              </w:rPr>
              <w:t xml:space="preserve">understand </w:t>
            </w:r>
            <w:r w:rsidR="005C726B" w:rsidRPr="00A84046">
              <w:rPr>
                <w:color w:val="000000"/>
              </w:rPr>
              <w:t>whether</w:t>
            </w:r>
            <w:r w:rsidRPr="00A84046">
              <w:rPr>
                <w:color w:val="000000"/>
              </w:rPr>
              <w:t xml:space="preserve"> industry would like the DSB to provide a comprehensive CFI generation service for all </w:t>
            </w:r>
            <w:r>
              <w:rPr>
                <w:color w:val="000000"/>
              </w:rPr>
              <w:t xml:space="preserve">OTC derivative </w:t>
            </w:r>
            <w:r w:rsidRPr="00A84046">
              <w:rPr>
                <w:color w:val="000000"/>
              </w:rPr>
              <w:t>products in scope of EMIR</w:t>
            </w:r>
            <w:r w:rsidR="005C726B">
              <w:rPr>
                <w:color w:val="000000"/>
              </w:rPr>
              <w:t xml:space="preserve"> so that CFI codes could be obtained from a central source, </w:t>
            </w:r>
            <w:r w:rsidR="005C726B">
              <w:rPr>
                <w:color w:val="000000"/>
              </w:rPr>
              <w:lastRenderedPageBreak/>
              <w:t>without the need to auto-generate the OTC ISIN or the OTC ISIN data record</w:t>
            </w:r>
            <w:r>
              <w:rPr>
                <w:color w:val="000000"/>
              </w:rPr>
              <w:t xml:space="preserve">. </w:t>
            </w:r>
          </w:p>
          <w:p w14:paraId="7987C938" w14:textId="39BC2352" w:rsidR="00202A25" w:rsidRPr="005118A9" w:rsidRDefault="008F433A" w:rsidP="00BC639C">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8F433A">
              <w:rPr>
                <w:b/>
                <w:color w:val="000000"/>
              </w:rPr>
              <w:t xml:space="preserve">Question: </w:t>
            </w:r>
            <w:r w:rsidR="005C726B" w:rsidRPr="005C726B">
              <w:rPr>
                <w:color w:val="000000"/>
              </w:rPr>
              <w:t>Should the DSB investigate the provision of a service that supports the creation, search and publication of CFI codes for all products in scope of EMIR? Given the wider product scope of EMIR vs MiFID, the DSB envisions such a CFI service to be independent of the existing ISIN generation service.</w:t>
            </w:r>
          </w:p>
        </w:tc>
        <w:tc>
          <w:tcPr>
            <w:tcW w:w="4394" w:type="dxa"/>
            <w:vAlign w:val="center"/>
          </w:tcPr>
          <w:p w14:paraId="693F51DE" w14:textId="77777777" w:rsidR="00DD21A3" w:rsidRPr="00551628" w:rsidRDefault="00DD21A3">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E551DF" w:rsidRPr="00551628" w14:paraId="0157B979" w14:textId="77777777" w:rsidTr="00DA24EC">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684" w:type="dxa"/>
            <w:vAlign w:val="center"/>
          </w:tcPr>
          <w:p w14:paraId="0CE774F3" w14:textId="5BCC5875" w:rsidR="00E426A2" w:rsidRDefault="00E426A2" w:rsidP="00BC639C">
            <w:pPr>
              <w:spacing w:after="120" w:line="276" w:lineRule="auto"/>
            </w:pPr>
            <w:r>
              <w:t>1.2</w:t>
            </w:r>
          </w:p>
        </w:tc>
        <w:tc>
          <w:tcPr>
            <w:tcW w:w="4840" w:type="dxa"/>
            <w:gridSpan w:val="4"/>
            <w:vAlign w:val="center"/>
          </w:tcPr>
          <w:p w14:paraId="1704E454" w14:textId="69E5BC57" w:rsidR="00E426A2" w:rsidRDefault="00E426A2" w:rsidP="00BC639C">
            <w:pPr>
              <w:spacing w:after="12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Users have integrated with the DSB service at varying points in the trading lifecycle from pre-trade through to post-trade</w:t>
            </w:r>
            <w:r w:rsidR="00C6452A">
              <w:rPr>
                <w:color w:val="000000"/>
              </w:rPr>
              <w:t>,</w:t>
            </w:r>
            <w:r>
              <w:rPr>
                <w:color w:val="000000"/>
              </w:rPr>
              <w:t xml:space="preserve"> regulatory only purposes. </w:t>
            </w:r>
          </w:p>
          <w:p w14:paraId="56D24973" w14:textId="77777777" w:rsidR="007000F9" w:rsidRDefault="003B1A48" w:rsidP="00BC639C">
            <w:pPr>
              <w:spacing w:after="12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Some DSB users have requested that the DSB maintain and publish</w:t>
            </w:r>
            <w:r w:rsidR="002046FA">
              <w:rPr>
                <w:color w:val="000000"/>
              </w:rPr>
              <w:t xml:space="preserve"> the mapping between each DSB product template and the associated </w:t>
            </w:r>
            <w:r w:rsidR="007F5A6B">
              <w:rPr>
                <w:color w:val="000000"/>
              </w:rPr>
              <w:t xml:space="preserve">sub-asset class as specified by the ESMA MiFID </w:t>
            </w:r>
            <w:r w:rsidR="005F44C7">
              <w:rPr>
                <w:color w:val="000000"/>
              </w:rPr>
              <w:t xml:space="preserve">II </w:t>
            </w:r>
            <w:r w:rsidR="007F5A6B">
              <w:rPr>
                <w:color w:val="000000"/>
              </w:rPr>
              <w:t xml:space="preserve">taxonomy. </w:t>
            </w:r>
          </w:p>
          <w:p w14:paraId="2D774E77" w14:textId="7C6B1A22" w:rsidR="003B1A48" w:rsidRDefault="007F5A6B" w:rsidP="00BC639C">
            <w:pPr>
              <w:spacing w:after="12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Such a service would provide a central data source for OTC derivatives users</w:t>
            </w:r>
            <w:r w:rsidR="005F44C7">
              <w:rPr>
                <w:color w:val="000000"/>
              </w:rPr>
              <w:t xml:space="preserve"> and could be maintained on an ongoing basis as new OTC derivative templates were added to the DSB (for ISIN or CFI purposes</w:t>
            </w:r>
            <w:r w:rsidR="007000F9">
              <w:rPr>
                <w:color w:val="000000"/>
              </w:rPr>
              <w:t xml:space="preserve">) – for use in either machine readable and/or human readable contexts. </w:t>
            </w:r>
          </w:p>
          <w:p w14:paraId="267E56F6" w14:textId="614C1022" w:rsidR="00E426A2" w:rsidRPr="007459C6" w:rsidRDefault="008F433A">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F433A">
              <w:rPr>
                <w:b/>
                <w:color w:val="000000"/>
              </w:rPr>
              <w:t xml:space="preserve">Question: </w:t>
            </w:r>
            <w:r w:rsidR="00E426A2">
              <w:rPr>
                <w:color w:val="000000"/>
              </w:rPr>
              <w:t>Where users are programmatically integrated into the DSB and seek to map data across a variety of regulatory reporting related needs, s</w:t>
            </w:r>
            <w:r w:rsidR="00E426A2" w:rsidRPr="007459C6">
              <w:rPr>
                <w:color w:val="000000"/>
              </w:rPr>
              <w:t>hould</w:t>
            </w:r>
            <w:r w:rsidR="00E426A2" w:rsidRPr="00126C3C">
              <w:rPr>
                <w:color w:val="000000"/>
              </w:rPr>
              <w:t xml:space="preserve"> the DSB investigate provision of (machine and human) readable mapping between DSB product definition templates and the ESMA MIFID II taxonomy’s sub-asset classes?</w:t>
            </w:r>
            <w:r w:rsidR="00E426A2">
              <w:rPr>
                <w:rFonts w:ascii="Arial" w:eastAsia="Times New Roman" w:hAnsi="Arial" w:cs="Arial"/>
                <w:sz w:val="20"/>
                <w:szCs w:val="20"/>
              </w:rPr>
              <w:t xml:space="preserve">  </w:t>
            </w:r>
          </w:p>
        </w:tc>
        <w:tc>
          <w:tcPr>
            <w:tcW w:w="4394" w:type="dxa"/>
            <w:vAlign w:val="center"/>
          </w:tcPr>
          <w:p w14:paraId="57DAD62F" w14:textId="77777777" w:rsidR="00E426A2" w:rsidRPr="00551628" w:rsidRDefault="00E426A2">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3E0621" w:rsidRPr="00551628" w14:paraId="28D4AD51" w14:textId="77777777" w:rsidTr="00DA24EC">
        <w:trPr>
          <w:trHeight w:val="2111"/>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26BF01E3" w14:textId="49885B86" w:rsidR="003E0621" w:rsidRPr="00551628" w:rsidRDefault="003E0621" w:rsidP="00BC639C">
            <w:pPr>
              <w:spacing w:after="120" w:line="276" w:lineRule="auto"/>
            </w:pPr>
            <w:r>
              <w:t>1.3</w:t>
            </w:r>
          </w:p>
        </w:tc>
        <w:tc>
          <w:tcPr>
            <w:tcW w:w="4840" w:type="dxa"/>
            <w:gridSpan w:val="4"/>
            <w:vAlign w:val="center"/>
          </w:tcPr>
          <w:p w14:paraId="08B835B0" w14:textId="671714D2" w:rsidR="003E0621" w:rsidRPr="00D978A4" w:rsidRDefault="003E0621" w:rsidP="00BC639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u w:val="single"/>
              </w:rPr>
            </w:pPr>
            <w:r w:rsidRPr="00C6687F">
              <w:rPr>
                <w:rFonts w:eastAsia="Times New Roman" w:cstheme="minorHAnsi"/>
                <w:bCs/>
              </w:rPr>
              <w:t xml:space="preserve">Currently, most DSB </w:t>
            </w:r>
            <w:hyperlink r:id="rId27" w:history="1">
              <w:r w:rsidRPr="007B15B7">
                <w:rPr>
                  <w:rStyle w:val="Hyperlink"/>
                  <w:rFonts w:eastAsia="Times New Roman" w:cstheme="minorHAnsi"/>
                  <w:bCs/>
                </w:rPr>
                <w:t>product templates</w:t>
              </w:r>
            </w:hyperlink>
            <w:r w:rsidRPr="00C6687F">
              <w:rPr>
                <w:rFonts w:eastAsia="Times New Roman" w:cstheme="minorHAnsi"/>
                <w:bCs/>
              </w:rPr>
              <w:t xml:space="preserve"> support default values for </w:t>
            </w:r>
            <w:r>
              <w:rPr>
                <w:rFonts w:eastAsia="Times New Roman" w:cstheme="minorHAnsi"/>
                <w:bCs/>
              </w:rPr>
              <w:t>several</w:t>
            </w:r>
            <w:r w:rsidRPr="00C6687F">
              <w:rPr>
                <w:rFonts w:eastAsia="Times New Roman" w:cstheme="minorHAnsi"/>
                <w:bCs/>
              </w:rPr>
              <w:t xml:space="preserve"> attributes (e.g. Delivery Type</w:t>
            </w:r>
            <w:r>
              <w:rPr>
                <w:rFonts w:eastAsia="Times New Roman" w:cstheme="minorHAnsi"/>
                <w:bCs/>
              </w:rPr>
              <w:t xml:space="preserve"> and</w:t>
            </w:r>
            <w:r w:rsidRPr="00C6687F">
              <w:rPr>
                <w:rFonts w:eastAsia="Times New Roman" w:cstheme="minorHAnsi"/>
                <w:bCs/>
              </w:rPr>
              <w:t xml:space="preserve"> Price Multiplier)</w:t>
            </w:r>
            <w:r>
              <w:rPr>
                <w:rFonts w:eastAsia="Times New Roman" w:cstheme="minorHAnsi"/>
                <w:bCs/>
              </w:rPr>
              <w:t>. The provision of defaults is intended to support the user experience, with defaults approved by the DSB Product Committee to reflect the most commonly used values that match prevailing ISO standards.</w:t>
            </w:r>
          </w:p>
        </w:tc>
        <w:tc>
          <w:tcPr>
            <w:tcW w:w="4394" w:type="dxa"/>
            <w:vAlign w:val="center"/>
          </w:tcPr>
          <w:p w14:paraId="1DF05AB6" w14:textId="77777777" w:rsidR="003E0621" w:rsidRPr="00551628" w:rsidRDefault="003E0621">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3E0621" w:rsidRPr="00551628" w14:paraId="1E71FE49" w14:textId="77777777" w:rsidTr="00DA24E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209D4EC" w14:textId="77777777" w:rsidR="003E0621" w:rsidRPr="00551628" w:rsidRDefault="003E0621" w:rsidP="003E0621">
            <w:pPr>
              <w:spacing w:after="120" w:line="276" w:lineRule="auto"/>
            </w:pPr>
          </w:p>
        </w:tc>
        <w:tc>
          <w:tcPr>
            <w:tcW w:w="587" w:type="dxa"/>
            <w:gridSpan w:val="3"/>
            <w:vAlign w:val="center"/>
          </w:tcPr>
          <w:p w14:paraId="59CD7A33" w14:textId="35C45670" w:rsidR="003E0621" w:rsidRPr="00D978A4" w:rsidRDefault="003E0621" w:rsidP="003E0621">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u w:val="single"/>
              </w:rPr>
            </w:pPr>
            <w:r>
              <w:t>a)</w:t>
            </w:r>
          </w:p>
        </w:tc>
        <w:tc>
          <w:tcPr>
            <w:tcW w:w="4253" w:type="dxa"/>
            <w:vAlign w:val="center"/>
          </w:tcPr>
          <w:p w14:paraId="4E3A02B4" w14:textId="4834CB66" w:rsidR="003E0621" w:rsidRPr="00D978A4" w:rsidRDefault="003E0621" w:rsidP="003E0621">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u w:val="single"/>
              </w:rPr>
            </w:pPr>
            <w:r>
              <w:rPr>
                <w:rFonts w:cstheme="minorHAnsi"/>
              </w:rPr>
              <w:t xml:space="preserve">Does your firm use the DSB to generate OTC ISINs and/or CFI codes? </w:t>
            </w:r>
          </w:p>
        </w:tc>
        <w:tc>
          <w:tcPr>
            <w:tcW w:w="4394" w:type="dxa"/>
            <w:vAlign w:val="center"/>
          </w:tcPr>
          <w:p w14:paraId="22868A3D" w14:textId="77777777" w:rsidR="003E0621" w:rsidRPr="00551628" w:rsidRDefault="003E0621" w:rsidP="003E0621">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3E0621" w:rsidRPr="00551628" w14:paraId="3FA5DAA6" w14:textId="77777777" w:rsidTr="00DA24EC">
        <w:trPr>
          <w:trHeight w:val="966"/>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1634EBDF" w14:textId="77777777" w:rsidR="003E0621" w:rsidRPr="00551628" w:rsidRDefault="003E0621" w:rsidP="003E0621">
            <w:pPr>
              <w:spacing w:after="120" w:line="276" w:lineRule="auto"/>
            </w:pPr>
          </w:p>
        </w:tc>
        <w:tc>
          <w:tcPr>
            <w:tcW w:w="587" w:type="dxa"/>
            <w:gridSpan w:val="3"/>
            <w:vAlign w:val="center"/>
          </w:tcPr>
          <w:p w14:paraId="7E6D9A96" w14:textId="70E25F22" w:rsidR="003E0621" w:rsidRPr="00D978A4" w:rsidRDefault="003E0621" w:rsidP="003E0621">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u w:val="single"/>
              </w:rPr>
            </w:pPr>
            <w:r>
              <w:t>b)</w:t>
            </w:r>
          </w:p>
        </w:tc>
        <w:tc>
          <w:tcPr>
            <w:tcW w:w="4253" w:type="dxa"/>
            <w:vAlign w:val="center"/>
          </w:tcPr>
          <w:p w14:paraId="07498A14" w14:textId="2DD61F1B" w:rsidR="003E0621" w:rsidRPr="00D978A4" w:rsidRDefault="003E0621" w:rsidP="003E0621">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u w:val="single"/>
              </w:rPr>
            </w:pPr>
            <w:r>
              <w:rPr>
                <w:rFonts w:cstheme="minorHAnsi"/>
              </w:rPr>
              <w:t>If you answered “yes” to 1.</w:t>
            </w:r>
            <w:r w:rsidR="003B45D9">
              <w:rPr>
                <w:rFonts w:cstheme="minorHAnsi"/>
              </w:rPr>
              <w:t>3</w:t>
            </w:r>
            <w:r>
              <w:rPr>
                <w:rFonts w:cstheme="minorHAnsi"/>
              </w:rPr>
              <w:t>(a) above - d</w:t>
            </w:r>
            <w:r w:rsidRPr="00C97AE7">
              <w:rPr>
                <w:rFonts w:cstheme="minorHAnsi"/>
              </w:rPr>
              <w:t xml:space="preserve">o you consider that the use of default values </w:t>
            </w:r>
            <w:r>
              <w:rPr>
                <w:rFonts w:cstheme="minorHAnsi"/>
              </w:rPr>
              <w:t xml:space="preserve">is helpful </w:t>
            </w:r>
            <w:r w:rsidRPr="00C97AE7">
              <w:rPr>
                <w:rFonts w:cstheme="minorHAnsi"/>
              </w:rPr>
              <w:t>in the creation of ISINs by the DSB?</w:t>
            </w:r>
            <w:r>
              <w:rPr>
                <w:rFonts w:cstheme="minorHAnsi"/>
              </w:rPr>
              <w:t xml:space="preserve"> </w:t>
            </w:r>
          </w:p>
        </w:tc>
        <w:tc>
          <w:tcPr>
            <w:tcW w:w="4394" w:type="dxa"/>
            <w:vAlign w:val="center"/>
          </w:tcPr>
          <w:p w14:paraId="2B42E05B" w14:textId="77777777" w:rsidR="003E0621" w:rsidRPr="00551628" w:rsidRDefault="003E0621" w:rsidP="003E0621">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3E0621" w:rsidRPr="00551628" w14:paraId="2B84F367" w14:textId="77777777" w:rsidTr="00DA24E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58C1F91B" w14:textId="77777777" w:rsidR="003E0621" w:rsidRPr="00551628" w:rsidRDefault="003E0621" w:rsidP="003E0621">
            <w:pPr>
              <w:spacing w:after="120" w:line="276" w:lineRule="auto"/>
            </w:pPr>
          </w:p>
        </w:tc>
        <w:tc>
          <w:tcPr>
            <w:tcW w:w="587" w:type="dxa"/>
            <w:gridSpan w:val="3"/>
            <w:vAlign w:val="center"/>
          </w:tcPr>
          <w:p w14:paraId="55A100E3" w14:textId="5EE8B4B1" w:rsidR="003E0621" w:rsidRPr="00D978A4" w:rsidRDefault="003E0621" w:rsidP="003E0621">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u w:val="single"/>
              </w:rPr>
            </w:pPr>
            <w:r>
              <w:t>c)</w:t>
            </w:r>
          </w:p>
        </w:tc>
        <w:tc>
          <w:tcPr>
            <w:tcW w:w="4253" w:type="dxa"/>
            <w:vAlign w:val="center"/>
          </w:tcPr>
          <w:p w14:paraId="247E62BE" w14:textId="0A740D61" w:rsidR="003E0621" w:rsidRPr="00D978A4" w:rsidRDefault="003E0621" w:rsidP="003E0621">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u w:val="single"/>
              </w:rPr>
            </w:pPr>
            <w:r>
              <w:rPr>
                <w:rFonts w:cstheme="minorHAnsi"/>
              </w:rPr>
              <w:t>If you answered “yes” to 1.</w:t>
            </w:r>
            <w:r w:rsidR="003B45D9">
              <w:rPr>
                <w:rFonts w:cstheme="minorHAnsi"/>
              </w:rPr>
              <w:t>3</w:t>
            </w:r>
            <w:r>
              <w:rPr>
                <w:rFonts w:cstheme="minorHAnsi"/>
              </w:rPr>
              <w:t>(a) above – does your firm rely on the default values supplied in the OTC derivative product templates?</w:t>
            </w:r>
          </w:p>
        </w:tc>
        <w:tc>
          <w:tcPr>
            <w:tcW w:w="4394" w:type="dxa"/>
            <w:vAlign w:val="center"/>
          </w:tcPr>
          <w:p w14:paraId="1F9ED603" w14:textId="77777777" w:rsidR="003E0621" w:rsidRPr="00551628" w:rsidRDefault="003E0621" w:rsidP="003E0621">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3E0621" w:rsidRPr="00551628" w14:paraId="32CFD324" w14:textId="77777777" w:rsidTr="00004DB5">
        <w:trPr>
          <w:trHeight w:val="135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267A86BE" w14:textId="77777777" w:rsidR="003E0621" w:rsidRPr="00551628" w:rsidRDefault="003E0621" w:rsidP="003E0621">
            <w:pPr>
              <w:spacing w:after="120" w:line="276" w:lineRule="auto"/>
            </w:pPr>
          </w:p>
        </w:tc>
        <w:tc>
          <w:tcPr>
            <w:tcW w:w="587" w:type="dxa"/>
            <w:gridSpan w:val="3"/>
            <w:vAlign w:val="center"/>
          </w:tcPr>
          <w:p w14:paraId="62E37391" w14:textId="23EBBF77" w:rsidR="003E0621" w:rsidRPr="00D978A4" w:rsidRDefault="003E0621" w:rsidP="003E0621">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u w:val="single"/>
              </w:rPr>
            </w:pPr>
            <w:r>
              <w:t>d)</w:t>
            </w:r>
          </w:p>
        </w:tc>
        <w:tc>
          <w:tcPr>
            <w:tcW w:w="4253" w:type="dxa"/>
            <w:vAlign w:val="center"/>
          </w:tcPr>
          <w:p w14:paraId="458FF613" w14:textId="261D0A34" w:rsidR="003E0621" w:rsidRPr="00D978A4" w:rsidRDefault="003E0621" w:rsidP="003E0621">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u w:val="single"/>
              </w:rPr>
            </w:pPr>
            <w:r>
              <w:rPr>
                <w:rFonts w:cstheme="minorHAnsi"/>
              </w:rPr>
              <w:t xml:space="preserve">Have you experienced any problems when using the default values supplied in the OTC derivative product templates? </w:t>
            </w:r>
            <w:r w:rsidRPr="0080346A">
              <w:rPr>
                <w:rFonts w:cstheme="minorHAnsi"/>
              </w:rPr>
              <w:t xml:space="preserve">If </w:t>
            </w:r>
            <w:r>
              <w:rPr>
                <w:rFonts w:cstheme="minorHAnsi"/>
              </w:rPr>
              <w:t xml:space="preserve">so, please </w:t>
            </w:r>
            <w:r w:rsidRPr="0080346A">
              <w:rPr>
                <w:rFonts w:cstheme="minorHAnsi"/>
              </w:rPr>
              <w:t>provide examples of use cases</w:t>
            </w:r>
            <w:r>
              <w:rPr>
                <w:rFonts w:cstheme="minorHAnsi"/>
              </w:rPr>
              <w:t xml:space="preserve"> where </w:t>
            </w:r>
            <w:r w:rsidRPr="0080346A">
              <w:rPr>
                <w:rFonts w:cstheme="minorHAnsi"/>
              </w:rPr>
              <w:t>problems have been experienced</w:t>
            </w:r>
            <w:r>
              <w:rPr>
                <w:rFonts w:cstheme="minorHAnsi"/>
              </w:rPr>
              <w:t xml:space="preserve">. </w:t>
            </w:r>
          </w:p>
        </w:tc>
        <w:tc>
          <w:tcPr>
            <w:tcW w:w="4394" w:type="dxa"/>
            <w:vAlign w:val="center"/>
          </w:tcPr>
          <w:p w14:paraId="3EE00295" w14:textId="77777777" w:rsidR="003E0621" w:rsidRPr="00551628" w:rsidRDefault="003E0621" w:rsidP="003E0621">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520EDE93" w14:textId="77777777" w:rsidTr="00004DB5">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70EA32B3" w14:textId="317F5AE0" w:rsidR="0017129F" w:rsidRPr="00551628" w:rsidRDefault="0017129F" w:rsidP="003E0621">
            <w:pPr>
              <w:spacing w:after="120" w:line="276" w:lineRule="auto"/>
            </w:pPr>
            <w:r>
              <w:t>1.4</w:t>
            </w:r>
          </w:p>
        </w:tc>
        <w:tc>
          <w:tcPr>
            <w:tcW w:w="4840" w:type="dxa"/>
            <w:gridSpan w:val="4"/>
            <w:vAlign w:val="center"/>
          </w:tcPr>
          <w:p w14:paraId="25494205" w14:textId="77777777" w:rsidR="0017129F" w:rsidRPr="00886A83"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u w:val="single"/>
              </w:rPr>
            </w:pPr>
            <w:r w:rsidRPr="00886A83">
              <w:rPr>
                <w:rFonts w:cstheme="minorHAnsi"/>
                <w:u w:val="single"/>
              </w:rPr>
              <w:t xml:space="preserve">Data Availability </w:t>
            </w:r>
          </w:p>
          <w:p w14:paraId="06768220" w14:textId="77777777"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T</w:t>
            </w:r>
            <w:r w:rsidRPr="00486370">
              <w:rPr>
                <w:rFonts w:eastAsia="Times New Roman" w:cstheme="minorHAnsi"/>
                <w:bCs/>
              </w:rPr>
              <w:t xml:space="preserve">he </w:t>
            </w:r>
            <w:r>
              <w:rPr>
                <w:rFonts w:eastAsia="Times New Roman" w:cstheme="minorHAnsi"/>
                <w:bCs/>
              </w:rPr>
              <w:t xml:space="preserve">DSB utilizes </w:t>
            </w:r>
            <w:proofErr w:type="gramStart"/>
            <w:r>
              <w:rPr>
                <w:rFonts w:eastAsia="Times New Roman" w:cstheme="minorHAnsi"/>
                <w:bCs/>
              </w:rPr>
              <w:t>a number of</w:t>
            </w:r>
            <w:proofErr w:type="gramEnd"/>
            <w:r>
              <w:rPr>
                <w:rFonts w:eastAsia="Times New Roman" w:cstheme="minorHAnsi"/>
                <w:bCs/>
              </w:rPr>
              <w:t xml:space="preserve"> sources to support </w:t>
            </w:r>
            <w:r w:rsidRPr="0057721A">
              <w:t xml:space="preserve">the provision of </w:t>
            </w:r>
            <w:r w:rsidRPr="00C73D2D">
              <w:rPr>
                <w:rFonts w:eastAsia="Times New Roman" w:cstheme="minorHAnsi"/>
                <w:bCs/>
              </w:rPr>
              <w:t xml:space="preserve">Reference Rates and Underlying Indices </w:t>
            </w:r>
            <w:r>
              <w:rPr>
                <w:rFonts w:eastAsia="Times New Roman" w:cstheme="minorHAnsi"/>
                <w:bCs/>
              </w:rPr>
              <w:t xml:space="preserve">for OTC derivative products. </w:t>
            </w:r>
          </w:p>
          <w:p w14:paraId="3BF2F17A" w14:textId="0B6AC3F8" w:rsidR="0017129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bCs/>
              </w:rPr>
              <w:t xml:space="preserve">The full list of underlying indices that are supported (excluding user owned proprietary indices) are available </w:t>
            </w:r>
            <w:hyperlink r:id="rId28" w:history="1">
              <w:r w:rsidRPr="00E367F9">
                <w:rPr>
                  <w:rStyle w:val="Hyperlink"/>
                  <w:rFonts w:eastAsia="Times New Roman" w:cstheme="minorHAnsi"/>
                  <w:bCs/>
                </w:rPr>
                <w:t>here</w:t>
              </w:r>
            </w:hyperlink>
            <w:r>
              <w:rPr>
                <w:rFonts w:eastAsia="Times New Roman" w:cstheme="minorHAnsi"/>
                <w:bCs/>
              </w:rPr>
              <w:t>. The DSB currently updates its list of enumerated values as new values become available.</w:t>
            </w:r>
          </w:p>
        </w:tc>
        <w:tc>
          <w:tcPr>
            <w:tcW w:w="4394" w:type="dxa"/>
            <w:vAlign w:val="center"/>
          </w:tcPr>
          <w:p w14:paraId="7226B587" w14:textId="77777777" w:rsidR="0017129F" w:rsidRPr="00551628" w:rsidRDefault="0017129F" w:rsidP="003E0621">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50BD17BF" w14:textId="77777777" w:rsidTr="00004DB5">
        <w:trPr>
          <w:trHeight w:val="135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1F7D81D9" w14:textId="77777777" w:rsidR="0017129F" w:rsidRPr="00551628" w:rsidRDefault="0017129F" w:rsidP="0017129F">
            <w:pPr>
              <w:spacing w:after="120" w:line="276" w:lineRule="auto"/>
            </w:pPr>
          </w:p>
        </w:tc>
        <w:tc>
          <w:tcPr>
            <w:tcW w:w="587" w:type="dxa"/>
            <w:gridSpan w:val="3"/>
            <w:vAlign w:val="center"/>
          </w:tcPr>
          <w:p w14:paraId="2CEB3082" w14:textId="1B95493F" w:rsidR="0017129F"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pPr>
            <w:r>
              <w:t>a)</w:t>
            </w:r>
          </w:p>
        </w:tc>
        <w:tc>
          <w:tcPr>
            <w:tcW w:w="4253" w:type="dxa"/>
            <w:vAlign w:val="center"/>
          </w:tcPr>
          <w:p w14:paraId="55B0BA6D" w14:textId="4927AE28" w:rsidR="0017129F"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104877">
              <w:rPr>
                <w:rFonts w:eastAsia="Times New Roman" w:cstheme="minorHAnsi"/>
              </w:rPr>
              <w:t>Does your institution primarily use the DSB to create OTC ISINs and/or CFI codes</w:t>
            </w:r>
            <w:r>
              <w:rPr>
                <w:rFonts w:eastAsia="Times New Roman" w:cstheme="minorHAnsi"/>
              </w:rPr>
              <w:t xml:space="preserve"> (programmatically or via the GUI)</w:t>
            </w:r>
            <w:r w:rsidRPr="00104877">
              <w:rPr>
                <w:rFonts w:eastAsia="Times New Roman" w:cstheme="minorHAnsi"/>
              </w:rPr>
              <w:t xml:space="preserve">? </w:t>
            </w:r>
          </w:p>
        </w:tc>
        <w:tc>
          <w:tcPr>
            <w:tcW w:w="4394" w:type="dxa"/>
            <w:vAlign w:val="center"/>
          </w:tcPr>
          <w:p w14:paraId="77ECC135"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15674F4E" w14:textId="77777777" w:rsidTr="00004DB5">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144E038" w14:textId="77777777" w:rsidR="0017129F" w:rsidRPr="00551628" w:rsidRDefault="0017129F" w:rsidP="0017129F">
            <w:pPr>
              <w:spacing w:after="120" w:line="276" w:lineRule="auto"/>
            </w:pPr>
          </w:p>
        </w:tc>
        <w:tc>
          <w:tcPr>
            <w:tcW w:w="587" w:type="dxa"/>
            <w:gridSpan w:val="3"/>
            <w:vAlign w:val="center"/>
          </w:tcPr>
          <w:p w14:paraId="4A5A720D" w14:textId="635A7ED3" w:rsidR="0017129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pPr>
            <w:r>
              <w:t>b)</w:t>
            </w:r>
          </w:p>
        </w:tc>
        <w:tc>
          <w:tcPr>
            <w:tcW w:w="4253" w:type="dxa"/>
            <w:vAlign w:val="center"/>
          </w:tcPr>
          <w:p w14:paraId="0AD62EEC" w14:textId="21C04C48" w:rsidR="0017129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104877">
              <w:rPr>
                <w:rFonts w:eastAsia="Times New Roman" w:cstheme="minorHAnsi"/>
              </w:rPr>
              <w:t>Does your institution primarily use the DSB to search for OTC ISINs and/or CFI codes</w:t>
            </w:r>
            <w:r>
              <w:rPr>
                <w:rFonts w:eastAsia="Times New Roman" w:cstheme="minorHAnsi"/>
              </w:rPr>
              <w:t xml:space="preserve"> (programmatically or via the GUI)</w:t>
            </w:r>
            <w:r w:rsidRPr="00104877">
              <w:rPr>
                <w:rFonts w:eastAsia="Times New Roman" w:cstheme="minorHAnsi"/>
              </w:rPr>
              <w:t xml:space="preserve">? </w:t>
            </w:r>
          </w:p>
        </w:tc>
        <w:tc>
          <w:tcPr>
            <w:tcW w:w="4394" w:type="dxa"/>
            <w:vAlign w:val="center"/>
          </w:tcPr>
          <w:p w14:paraId="55D2DCA3"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578108B1" w14:textId="77777777" w:rsidTr="00004DB5">
        <w:trPr>
          <w:trHeight w:val="135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375A2101" w14:textId="77777777" w:rsidR="0017129F" w:rsidRPr="00551628" w:rsidRDefault="0017129F" w:rsidP="0017129F">
            <w:pPr>
              <w:spacing w:after="120" w:line="276" w:lineRule="auto"/>
            </w:pPr>
          </w:p>
        </w:tc>
        <w:tc>
          <w:tcPr>
            <w:tcW w:w="587" w:type="dxa"/>
            <w:gridSpan w:val="3"/>
            <w:vAlign w:val="center"/>
          </w:tcPr>
          <w:p w14:paraId="17B0E9A6" w14:textId="7F8619E5" w:rsidR="0017129F"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pPr>
            <w:r>
              <w:t>c)</w:t>
            </w:r>
          </w:p>
        </w:tc>
        <w:tc>
          <w:tcPr>
            <w:tcW w:w="4253" w:type="dxa"/>
            <w:vAlign w:val="center"/>
          </w:tcPr>
          <w:p w14:paraId="79004750" w14:textId="569C6DF6" w:rsidR="0017129F"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D</w:t>
            </w:r>
            <w:r w:rsidRPr="000F50AC">
              <w:rPr>
                <w:rFonts w:eastAsia="Times New Roman" w:cstheme="minorHAnsi"/>
              </w:rPr>
              <w:t xml:space="preserve">o you consider that the underlying </w:t>
            </w:r>
            <w:r>
              <w:rPr>
                <w:rFonts w:eastAsia="Times New Roman" w:cstheme="minorHAnsi"/>
              </w:rPr>
              <w:t xml:space="preserve">identifiers </w:t>
            </w:r>
            <w:r w:rsidRPr="000F50AC">
              <w:rPr>
                <w:rFonts w:eastAsia="Times New Roman" w:cstheme="minorHAnsi"/>
              </w:rPr>
              <w:t xml:space="preserve">made available by the DSB are </w:t>
            </w:r>
            <w:proofErr w:type="gramStart"/>
            <w:r w:rsidRPr="000F50AC">
              <w:rPr>
                <w:rFonts w:eastAsia="Times New Roman" w:cstheme="minorHAnsi"/>
              </w:rPr>
              <w:t>sufficient</w:t>
            </w:r>
            <w:proofErr w:type="gramEnd"/>
            <w:r w:rsidRPr="000F50AC">
              <w:rPr>
                <w:rFonts w:eastAsia="Times New Roman" w:cstheme="minorHAnsi"/>
              </w:rPr>
              <w:t xml:space="preserve"> for the </w:t>
            </w:r>
            <w:r>
              <w:rPr>
                <w:rFonts w:eastAsia="Times New Roman" w:cstheme="minorHAnsi"/>
              </w:rPr>
              <w:t xml:space="preserve">OTC </w:t>
            </w:r>
            <w:r w:rsidRPr="000F50AC">
              <w:rPr>
                <w:rFonts w:eastAsia="Times New Roman" w:cstheme="minorHAnsi"/>
              </w:rPr>
              <w:t>ISINs that need to be</w:t>
            </w:r>
            <w:r>
              <w:rPr>
                <w:rFonts w:eastAsia="Times New Roman" w:cstheme="minorHAnsi"/>
              </w:rPr>
              <w:t xml:space="preserve"> created or accessed </w:t>
            </w:r>
            <w:r w:rsidRPr="000F50AC">
              <w:rPr>
                <w:rFonts w:eastAsia="Times New Roman" w:cstheme="minorHAnsi"/>
              </w:rPr>
              <w:t>by you</w:t>
            </w:r>
            <w:r>
              <w:rPr>
                <w:rFonts w:eastAsia="Times New Roman" w:cstheme="minorHAnsi"/>
              </w:rPr>
              <w:t>r</w:t>
            </w:r>
            <w:r w:rsidRPr="000F50AC">
              <w:rPr>
                <w:rFonts w:eastAsia="Times New Roman" w:cstheme="minorHAnsi"/>
              </w:rPr>
              <w:t xml:space="preserve"> institution?</w:t>
            </w:r>
          </w:p>
        </w:tc>
        <w:tc>
          <w:tcPr>
            <w:tcW w:w="4394" w:type="dxa"/>
            <w:vAlign w:val="center"/>
          </w:tcPr>
          <w:p w14:paraId="1ABCC93E"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265B98E5" w14:textId="77777777" w:rsidTr="00004DB5">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C375ED9" w14:textId="77777777" w:rsidR="0017129F" w:rsidRPr="00551628" w:rsidRDefault="0017129F" w:rsidP="0017129F">
            <w:pPr>
              <w:spacing w:after="120" w:line="276" w:lineRule="auto"/>
            </w:pPr>
          </w:p>
        </w:tc>
        <w:tc>
          <w:tcPr>
            <w:tcW w:w="587" w:type="dxa"/>
            <w:gridSpan w:val="3"/>
            <w:vAlign w:val="center"/>
          </w:tcPr>
          <w:p w14:paraId="433E5790" w14:textId="5BA955EA" w:rsidR="0017129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pPr>
            <w:r>
              <w:t>d)</w:t>
            </w:r>
          </w:p>
        </w:tc>
        <w:tc>
          <w:tcPr>
            <w:tcW w:w="4253" w:type="dxa"/>
            <w:vAlign w:val="center"/>
          </w:tcPr>
          <w:p w14:paraId="49B21A03" w14:textId="276569DF" w:rsidR="0017129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71232">
              <w:rPr>
                <w:rFonts w:cstheme="minorHAnsi"/>
              </w:rPr>
              <w:t>If you answered “no” to 1.</w:t>
            </w:r>
            <w:r w:rsidR="00151D29">
              <w:rPr>
                <w:rFonts w:cstheme="minorHAnsi"/>
              </w:rPr>
              <w:t>4(</w:t>
            </w:r>
            <w:r>
              <w:rPr>
                <w:rFonts w:cstheme="minorHAnsi"/>
              </w:rPr>
              <w:t>c</w:t>
            </w:r>
            <w:r w:rsidRPr="00971232">
              <w:rPr>
                <w:rFonts w:cstheme="minorHAnsi"/>
              </w:rPr>
              <w:t xml:space="preserve">) </w:t>
            </w:r>
            <w:r>
              <w:rPr>
                <w:rFonts w:cstheme="minorHAnsi"/>
              </w:rPr>
              <w:t>above –</w:t>
            </w:r>
            <w:r w:rsidRPr="00971232">
              <w:rPr>
                <w:rFonts w:cstheme="minorHAnsi"/>
              </w:rPr>
              <w:t xml:space="preserve"> </w:t>
            </w:r>
            <w:r>
              <w:rPr>
                <w:rFonts w:cstheme="minorHAnsi"/>
              </w:rPr>
              <w:t xml:space="preserve">please </w:t>
            </w:r>
            <w:r w:rsidRPr="00971232">
              <w:rPr>
                <w:rFonts w:eastAsia="Times New Roman" w:cstheme="minorHAnsi"/>
              </w:rPr>
              <w:t>provide a</w:t>
            </w:r>
            <w:r>
              <w:rPr>
                <w:rFonts w:eastAsia="Times New Roman" w:cstheme="minorHAnsi"/>
              </w:rPr>
              <w:t xml:space="preserve">dditional sources that should be evaluated for inclusion - based on a global standard that is endorsed by the </w:t>
            </w:r>
            <w:r>
              <w:rPr>
                <w:rFonts w:eastAsia="Times New Roman" w:cstheme="minorHAnsi"/>
              </w:rPr>
              <w:lastRenderedPageBreak/>
              <w:t xml:space="preserve">industry - and </w:t>
            </w:r>
            <w:proofErr w:type="gramStart"/>
            <w:r>
              <w:rPr>
                <w:rFonts w:eastAsia="Times New Roman" w:cstheme="minorHAnsi"/>
              </w:rPr>
              <w:t>state</w:t>
            </w:r>
            <w:proofErr w:type="gramEnd"/>
            <w:r>
              <w:rPr>
                <w:rFonts w:eastAsia="Times New Roman" w:cstheme="minorHAnsi"/>
              </w:rPr>
              <w:t xml:space="preserve"> the appropriateness of each source by asset class</w:t>
            </w:r>
            <w:r w:rsidR="00004DB5">
              <w:rPr>
                <w:rFonts w:eastAsia="Times New Roman" w:cstheme="minorHAnsi"/>
              </w:rPr>
              <w:t xml:space="preserve">. </w:t>
            </w:r>
          </w:p>
        </w:tc>
        <w:tc>
          <w:tcPr>
            <w:tcW w:w="4394" w:type="dxa"/>
            <w:vAlign w:val="center"/>
          </w:tcPr>
          <w:p w14:paraId="509CB1BE"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0D7DC504" w14:textId="77777777" w:rsidTr="00BC639C">
        <w:trPr>
          <w:trHeight w:val="3288"/>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71DDF76A" w14:textId="20F1426D" w:rsidR="0017129F" w:rsidRPr="00551628" w:rsidRDefault="0017129F" w:rsidP="0017129F">
            <w:pPr>
              <w:spacing w:after="120" w:line="276" w:lineRule="auto"/>
            </w:pPr>
            <w:r w:rsidRPr="00551628">
              <w:t>1.</w:t>
            </w:r>
            <w:r>
              <w:t>5</w:t>
            </w:r>
          </w:p>
        </w:tc>
        <w:tc>
          <w:tcPr>
            <w:tcW w:w="4840" w:type="dxa"/>
            <w:gridSpan w:val="4"/>
            <w:vAlign w:val="center"/>
          </w:tcPr>
          <w:p w14:paraId="5FA215C8" w14:textId="2024F55B" w:rsidR="0017129F"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D978A4">
              <w:rPr>
                <w:color w:val="000000"/>
                <w:u w:val="single"/>
              </w:rPr>
              <w:t>DSB GUI</w:t>
            </w:r>
            <w:r>
              <w:rPr>
                <w:color w:val="000000"/>
              </w:rPr>
              <w:t xml:space="preserve">: </w:t>
            </w:r>
            <w:r w:rsidRPr="003F1044">
              <w:rPr>
                <w:color w:val="000000"/>
              </w:rPr>
              <w:t xml:space="preserve">The </w:t>
            </w:r>
            <w:hyperlink r:id="rId29" w:history="1">
              <w:r w:rsidRPr="00AC7D2F">
                <w:rPr>
                  <w:rStyle w:val="Hyperlink"/>
                </w:rPr>
                <w:t>existing DSB GUI</w:t>
              </w:r>
            </w:hyperlink>
            <w:r>
              <w:rPr>
                <w:color w:val="000000"/>
              </w:rPr>
              <w:t xml:space="preserve"> </w:t>
            </w:r>
            <w:r w:rsidRPr="003F1044">
              <w:rPr>
                <w:color w:val="000000"/>
              </w:rPr>
              <w:t xml:space="preserve">allows users to search and create ISINs as an alternative to Programmatic APIs. </w:t>
            </w:r>
            <w:r>
              <w:rPr>
                <w:color w:val="000000"/>
              </w:rPr>
              <w:t>T</w:t>
            </w:r>
            <w:r w:rsidRPr="003F1044">
              <w:rPr>
                <w:color w:val="000000"/>
              </w:rPr>
              <w:t xml:space="preserve">he GUI create function allows users to create one ISIN at a time and the search functionality offers a range of searching capabilities for technical users </w:t>
            </w:r>
            <w:r>
              <w:rPr>
                <w:color w:val="000000"/>
              </w:rPr>
              <w:t>who</w:t>
            </w:r>
            <w:r w:rsidRPr="003F1044">
              <w:rPr>
                <w:color w:val="000000"/>
              </w:rPr>
              <w:t xml:space="preserve"> are </w:t>
            </w:r>
            <w:r>
              <w:rPr>
                <w:color w:val="000000"/>
              </w:rPr>
              <w:t>familiar</w:t>
            </w:r>
            <w:r w:rsidRPr="003F1044">
              <w:rPr>
                <w:color w:val="000000"/>
              </w:rPr>
              <w:t xml:space="preserve"> with the Lucene programming language </w:t>
            </w:r>
            <w:r>
              <w:rPr>
                <w:color w:val="000000"/>
              </w:rPr>
              <w:t xml:space="preserve">as </w:t>
            </w:r>
            <w:hyperlink r:id="rId30" w:history="1">
              <w:r w:rsidRPr="008D668B">
                <w:rPr>
                  <w:rStyle w:val="Hyperlink"/>
                </w:rPr>
                <w:t>available here</w:t>
              </w:r>
            </w:hyperlink>
            <w:r w:rsidRPr="003F1044">
              <w:rPr>
                <w:color w:val="000000"/>
              </w:rPr>
              <w:t>.</w:t>
            </w:r>
          </w:p>
          <w:p w14:paraId="4BC8F867" w14:textId="4CAC4EA5" w:rsidR="0017129F" w:rsidRPr="003F1044"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rsidRPr="003F1044">
              <w:t>Please note that this query focuses on the search aspects of the service</w:t>
            </w:r>
            <w:r>
              <w:t xml:space="preserve"> to allow for the views of the approximately </w:t>
            </w:r>
            <w:r w:rsidRPr="003F1044">
              <w:t xml:space="preserve">300 firms using the DSB’s GUI based search functionality. </w:t>
            </w:r>
          </w:p>
        </w:tc>
        <w:tc>
          <w:tcPr>
            <w:tcW w:w="4394" w:type="dxa"/>
            <w:vAlign w:val="center"/>
          </w:tcPr>
          <w:p w14:paraId="77EE569D"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06BDE086" w14:textId="77777777" w:rsidTr="00156B5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456C60AC" w14:textId="77777777" w:rsidR="0017129F" w:rsidRPr="00551628" w:rsidRDefault="0017129F" w:rsidP="0017129F">
            <w:pPr>
              <w:spacing w:after="120" w:line="276" w:lineRule="auto"/>
            </w:pPr>
          </w:p>
        </w:tc>
        <w:tc>
          <w:tcPr>
            <w:tcW w:w="552" w:type="dxa"/>
            <w:gridSpan w:val="2"/>
            <w:vAlign w:val="center"/>
          </w:tcPr>
          <w:p w14:paraId="69C572C2" w14:textId="6E8D67C7"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a)</w:t>
            </w:r>
          </w:p>
        </w:tc>
        <w:tc>
          <w:tcPr>
            <w:tcW w:w="4288" w:type="dxa"/>
            <w:gridSpan w:val="2"/>
            <w:vAlign w:val="center"/>
          </w:tcPr>
          <w:p w14:paraId="56D0793B" w14:textId="1A0204FC" w:rsidR="0017129F" w:rsidRPr="006B4E73"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Does your firm primarily rely on use of the DSB GUI? </w:t>
            </w:r>
          </w:p>
        </w:tc>
        <w:tc>
          <w:tcPr>
            <w:tcW w:w="4394" w:type="dxa"/>
            <w:vAlign w:val="center"/>
          </w:tcPr>
          <w:p w14:paraId="16C7B6D6"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46BE89E8" w14:textId="77777777" w:rsidTr="00156B59">
        <w:trPr>
          <w:trHeight w:val="70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5FCFA498" w14:textId="77777777" w:rsidR="0017129F" w:rsidRPr="00551628" w:rsidRDefault="0017129F" w:rsidP="0017129F">
            <w:pPr>
              <w:spacing w:after="120" w:line="276" w:lineRule="auto"/>
            </w:pPr>
          </w:p>
        </w:tc>
        <w:tc>
          <w:tcPr>
            <w:tcW w:w="552" w:type="dxa"/>
            <w:gridSpan w:val="2"/>
            <w:vAlign w:val="center"/>
          </w:tcPr>
          <w:p w14:paraId="3BEA45B1" w14:textId="7ED0C727"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b)</w:t>
            </w:r>
          </w:p>
        </w:tc>
        <w:tc>
          <w:tcPr>
            <w:tcW w:w="4288" w:type="dxa"/>
            <w:gridSpan w:val="2"/>
            <w:vAlign w:val="center"/>
          </w:tcPr>
          <w:p w14:paraId="735FA4FC" w14:textId="6204AD9B"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230BF">
              <w:rPr>
                <w:rFonts w:eastAsia="Times New Roman" w:cstheme="minorHAnsi"/>
                <w:bCs/>
              </w:rPr>
              <w:t>The existing DSB GUI search utility requires a degree of technical knowledge for more complex queries.</w:t>
            </w:r>
            <w:r>
              <w:rPr>
                <w:rFonts w:eastAsia="Times New Roman" w:cstheme="minorHAnsi"/>
                <w:bCs/>
              </w:rPr>
              <w:t xml:space="preserve"> Examples of the current search functionality are set out </w:t>
            </w:r>
            <w:hyperlink r:id="rId31" w:history="1">
              <w:r w:rsidRPr="0077560C">
                <w:rPr>
                  <w:rStyle w:val="Hyperlink"/>
                  <w:rFonts w:eastAsia="Times New Roman" w:cstheme="minorHAnsi"/>
                  <w:bCs/>
                </w:rPr>
                <w:t>here</w:t>
              </w:r>
            </w:hyperlink>
            <w:r>
              <w:rPr>
                <w:rFonts w:eastAsia="Times New Roman" w:cstheme="minorHAnsi"/>
                <w:bCs/>
              </w:rPr>
              <w:t xml:space="preserve">. </w:t>
            </w:r>
          </w:p>
          <w:p w14:paraId="2580756A" w14:textId="40C3E7D4" w:rsidR="0017129F" w:rsidRDefault="00004DB5" w:rsidP="0017129F">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004DB5">
              <w:rPr>
                <w:b/>
                <w:color w:val="000000"/>
              </w:rPr>
              <w:t>Question:</w:t>
            </w:r>
            <w:r>
              <w:rPr>
                <w:color w:val="000000"/>
              </w:rPr>
              <w:t xml:space="preserve"> </w:t>
            </w:r>
            <w:r w:rsidR="0017129F" w:rsidRPr="006B4E73">
              <w:rPr>
                <w:color w:val="000000"/>
              </w:rPr>
              <w:t xml:space="preserve">Should the DSB </w:t>
            </w:r>
            <w:r w:rsidR="0017129F">
              <w:rPr>
                <w:color w:val="000000"/>
              </w:rPr>
              <w:t xml:space="preserve">investigate the </w:t>
            </w:r>
            <w:r w:rsidR="0017129F" w:rsidRPr="006B4E73">
              <w:rPr>
                <w:color w:val="000000"/>
              </w:rPr>
              <w:t>enhance</w:t>
            </w:r>
            <w:r w:rsidR="0017129F">
              <w:rPr>
                <w:color w:val="000000"/>
              </w:rPr>
              <w:t>ment of</w:t>
            </w:r>
            <w:r w:rsidR="0017129F" w:rsidRPr="006B4E73">
              <w:rPr>
                <w:color w:val="000000"/>
              </w:rPr>
              <w:t xml:space="preserve"> its </w:t>
            </w:r>
            <w:r w:rsidR="0017129F">
              <w:rPr>
                <w:color w:val="000000"/>
              </w:rPr>
              <w:t xml:space="preserve">web-based </w:t>
            </w:r>
            <w:r w:rsidR="0017129F" w:rsidRPr="006B4E73">
              <w:rPr>
                <w:color w:val="000000"/>
              </w:rPr>
              <w:t>GUI to allow non-technical users to search for ISINs by any attribute across any product template?</w:t>
            </w:r>
          </w:p>
        </w:tc>
        <w:tc>
          <w:tcPr>
            <w:tcW w:w="4394" w:type="dxa"/>
            <w:vAlign w:val="center"/>
          </w:tcPr>
          <w:p w14:paraId="4C251C61"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5D55DC13" w14:textId="77777777" w:rsidTr="00156B59">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E7B82B4" w14:textId="77777777" w:rsidR="0017129F" w:rsidRPr="00551628" w:rsidRDefault="0017129F" w:rsidP="0017129F">
            <w:pPr>
              <w:spacing w:after="120" w:line="276" w:lineRule="auto"/>
            </w:pPr>
          </w:p>
        </w:tc>
        <w:tc>
          <w:tcPr>
            <w:tcW w:w="552" w:type="dxa"/>
            <w:gridSpan w:val="2"/>
            <w:vAlign w:val="center"/>
          </w:tcPr>
          <w:p w14:paraId="3351DA5B" w14:textId="13E81328"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c)</w:t>
            </w:r>
          </w:p>
        </w:tc>
        <w:tc>
          <w:tcPr>
            <w:tcW w:w="4288" w:type="dxa"/>
            <w:gridSpan w:val="2"/>
            <w:vAlign w:val="center"/>
          </w:tcPr>
          <w:p w14:paraId="663299EA" w14:textId="6283AD09" w:rsidR="0017129F" w:rsidRPr="009D499A"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D499A">
              <w:rPr>
                <w:color w:val="000000"/>
              </w:rPr>
              <w:t>If you answered “yes” to 1.</w:t>
            </w:r>
            <w:r w:rsidR="003B45D9">
              <w:rPr>
                <w:color w:val="000000"/>
              </w:rPr>
              <w:t>5</w:t>
            </w:r>
            <w:r w:rsidRPr="009D499A">
              <w:rPr>
                <w:color w:val="000000"/>
              </w:rPr>
              <w:t xml:space="preserve">(b) </w:t>
            </w:r>
            <w:r>
              <w:rPr>
                <w:color w:val="000000"/>
              </w:rPr>
              <w:t xml:space="preserve">above - please </w:t>
            </w:r>
            <w:r w:rsidRPr="009D499A">
              <w:rPr>
                <w:rFonts w:cstheme="minorHAnsi"/>
              </w:rPr>
              <w:t xml:space="preserve">can you provide examples of the </w:t>
            </w:r>
            <w:r>
              <w:rPr>
                <w:rFonts w:cstheme="minorHAnsi"/>
              </w:rPr>
              <w:t xml:space="preserve">types </w:t>
            </w:r>
            <w:r w:rsidRPr="009D499A">
              <w:rPr>
                <w:rFonts w:cstheme="minorHAnsi"/>
              </w:rPr>
              <w:t>of queries you would need to perform through the GUI.</w:t>
            </w:r>
          </w:p>
        </w:tc>
        <w:tc>
          <w:tcPr>
            <w:tcW w:w="4394" w:type="dxa"/>
            <w:vAlign w:val="center"/>
          </w:tcPr>
          <w:p w14:paraId="3E47A370"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4D31574F" w14:textId="77777777" w:rsidTr="00156B59">
        <w:trPr>
          <w:trHeight w:val="1546"/>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2FF04434" w14:textId="399B5898" w:rsidR="0017129F" w:rsidRPr="00551628" w:rsidRDefault="0017129F" w:rsidP="0017129F">
            <w:pPr>
              <w:spacing w:after="120" w:line="276" w:lineRule="auto"/>
            </w:pPr>
          </w:p>
        </w:tc>
        <w:tc>
          <w:tcPr>
            <w:tcW w:w="552" w:type="dxa"/>
            <w:gridSpan w:val="2"/>
            <w:vAlign w:val="center"/>
          </w:tcPr>
          <w:p w14:paraId="2F7549F8" w14:textId="04E6A29F"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d)</w:t>
            </w:r>
          </w:p>
        </w:tc>
        <w:tc>
          <w:tcPr>
            <w:tcW w:w="4288" w:type="dxa"/>
            <w:gridSpan w:val="2"/>
            <w:vAlign w:val="center"/>
          </w:tcPr>
          <w:p w14:paraId="41A38915" w14:textId="766BC7C8" w:rsidR="0017129F" w:rsidRPr="00EE5455"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rPr>
                <w:color w:val="000000"/>
              </w:rPr>
              <w:t>I</w:t>
            </w:r>
            <w:r w:rsidRPr="00EE5455">
              <w:rPr>
                <w:color w:val="000000"/>
              </w:rPr>
              <w:t xml:space="preserve">s the existing DSB GUI performing to industry expectations or does it need </w:t>
            </w:r>
            <w:r w:rsidRPr="00EE5455">
              <w:t>enhancement</w:t>
            </w:r>
            <w:r>
              <w:t xml:space="preserve"> – given its role as a meaningful alternative access point</w:t>
            </w:r>
            <w:r w:rsidRPr="00EE5455">
              <w:rPr>
                <w:color w:val="000000"/>
              </w:rPr>
              <w:t>?</w:t>
            </w:r>
          </w:p>
        </w:tc>
        <w:tc>
          <w:tcPr>
            <w:tcW w:w="4394" w:type="dxa"/>
            <w:vAlign w:val="center"/>
          </w:tcPr>
          <w:p w14:paraId="39CECA3D"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7681EDBF" w14:textId="77777777" w:rsidTr="00156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78EF40AC" w14:textId="4841CA09" w:rsidR="0017129F" w:rsidRPr="00551628" w:rsidRDefault="0017129F" w:rsidP="0017129F">
            <w:pPr>
              <w:spacing w:after="120" w:line="276" w:lineRule="auto"/>
            </w:pPr>
          </w:p>
        </w:tc>
        <w:tc>
          <w:tcPr>
            <w:tcW w:w="552" w:type="dxa"/>
            <w:gridSpan w:val="2"/>
            <w:vAlign w:val="center"/>
          </w:tcPr>
          <w:p w14:paraId="0D90F18F" w14:textId="5FA9D79E"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e)</w:t>
            </w:r>
          </w:p>
        </w:tc>
        <w:tc>
          <w:tcPr>
            <w:tcW w:w="4288" w:type="dxa"/>
            <w:gridSpan w:val="2"/>
            <w:vAlign w:val="center"/>
          </w:tcPr>
          <w:p w14:paraId="0C8FC428" w14:textId="2C4A53F5"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rsidRPr="006B4E73">
              <w:rPr>
                <w:color w:val="000000"/>
              </w:rPr>
              <w:t xml:space="preserve">Are there any </w:t>
            </w:r>
            <w:r>
              <w:rPr>
                <w:color w:val="000000"/>
              </w:rPr>
              <w:t>functions</w:t>
            </w:r>
            <w:r w:rsidRPr="006B4E73">
              <w:rPr>
                <w:color w:val="000000"/>
              </w:rPr>
              <w:t xml:space="preserve"> or </w:t>
            </w:r>
            <w:r>
              <w:rPr>
                <w:color w:val="000000"/>
              </w:rPr>
              <w:t xml:space="preserve">additional </w:t>
            </w:r>
            <w:r w:rsidRPr="006B4E73">
              <w:rPr>
                <w:color w:val="000000"/>
              </w:rPr>
              <w:t xml:space="preserve">information that </w:t>
            </w:r>
            <w:r>
              <w:rPr>
                <w:color w:val="000000"/>
              </w:rPr>
              <w:t xml:space="preserve">your firm wishes </w:t>
            </w:r>
            <w:r w:rsidRPr="006B4E73">
              <w:rPr>
                <w:color w:val="000000"/>
              </w:rPr>
              <w:t>to add to the existing features within the DSB GUI?</w:t>
            </w:r>
          </w:p>
        </w:tc>
        <w:tc>
          <w:tcPr>
            <w:tcW w:w="4394" w:type="dxa"/>
            <w:vAlign w:val="center"/>
          </w:tcPr>
          <w:p w14:paraId="0264F7C5"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6D68E42E" w14:textId="77777777" w:rsidTr="00BC639C">
        <w:trPr>
          <w:trHeight w:val="1581"/>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622E5070" w14:textId="628E13B5" w:rsidR="0017129F" w:rsidRDefault="0017129F" w:rsidP="0017129F">
            <w:pPr>
              <w:spacing w:after="120" w:line="276" w:lineRule="auto"/>
            </w:pPr>
            <w:r>
              <w:lastRenderedPageBreak/>
              <w:t>1.6</w:t>
            </w:r>
          </w:p>
        </w:tc>
        <w:tc>
          <w:tcPr>
            <w:tcW w:w="4840" w:type="dxa"/>
            <w:gridSpan w:val="4"/>
            <w:vAlign w:val="center"/>
          </w:tcPr>
          <w:p w14:paraId="5703C12C" w14:textId="4AAE9226" w:rsidR="0017129F" w:rsidRPr="00902032"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02032">
              <w:rPr>
                <w:rFonts w:eastAsia="Times New Roman" w:cstheme="minorHAnsi"/>
                <w:bCs/>
              </w:rPr>
              <w:t xml:space="preserve">The DSB’s template-based architecture is going to be subject to major enhancements over the next </w:t>
            </w:r>
            <w:r>
              <w:rPr>
                <w:rFonts w:eastAsia="Times New Roman" w:cstheme="minorHAnsi"/>
                <w:bCs/>
              </w:rPr>
              <w:t xml:space="preserve">twelve months in support of work to provide </w:t>
            </w:r>
            <w:r w:rsidRPr="00902032">
              <w:rPr>
                <w:rFonts w:eastAsia="Times New Roman" w:cstheme="minorHAnsi"/>
                <w:bCs/>
              </w:rPr>
              <w:t xml:space="preserve">dynamic enumeration and hierarchy </w:t>
            </w:r>
            <w:r>
              <w:rPr>
                <w:rFonts w:eastAsia="Times New Roman" w:cstheme="minorHAnsi"/>
                <w:bCs/>
              </w:rPr>
              <w:t xml:space="preserve">facilitation. </w:t>
            </w:r>
            <w:r w:rsidRPr="00902032">
              <w:rPr>
                <w:rFonts w:eastAsia="Times New Roman" w:cstheme="minorHAnsi"/>
                <w:bCs/>
              </w:rPr>
              <w:t xml:space="preserve">  </w:t>
            </w:r>
          </w:p>
        </w:tc>
        <w:tc>
          <w:tcPr>
            <w:tcW w:w="4394" w:type="dxa"/>
            <w:vAlign w:val="center"/>
          </w:tcPr>
          <w:p w14:paraId="4616A29B"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05A86AC9" w14:textId="77777777" w:rsidTr="00156B5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7A3C36B8" w14:textId="77777777" w:rsidR="0017129F" w:rsidRDefault="0017129F" w:rsidP="0017129F">
            <w:pPr>
              <w:spacing w:after="120" w:line="276" w:lineRule="auto"/>
            </w:pPr>
          </w:p>
        </w:tc>
        <w:tc>
          <w:tcPr>
            <w:tcW w:w="552" w:type="dxa"/>
            <w:gridSpan w:val="2"/>
            <w:vAlign w:val="center"/>
          </w:tcPr>
          <w:p w14:paraId="730C2B33" w14:textId="5C1104ED"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a)</w:t>
            </w:r>
          </w:p>
        </w:tc>
        <w:tc>
          <w:tcPr>
            <w:tcW w:w="4288" w:type="dxa"/>
            <w:gridSpan w:val="2"/>
            <w:vAlign w:val="center"/>
          </w:tcPr>
          <w:p w14:paraId="34E23532" w14:textId="493E51EA" w:rsidR="0017129F" w:rsidRPr="00236861"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36861">
              <w:rPr>
                <w:rFonts w:cstheme="minorHAnsi"/>
              </w:rPr>
              <w:t>Do you think that th</w:t>
            </w:r>
            <w:r>
              <w:rPr>
                <w:rFonts w:cstheme="minorHAnsi"/>
              </w:rPr>
              <w:t>e DSB service</w:t>
            </w:r>
            <w:r w:rsidRPr="00236861">
              <w:rPr>
                <w:rFonts w:cstheme="minorHAnsi"/>
              </w:rPr>
              <w:t xml:space="preserve"> should be reviewed in order to examine any additional technical enhancements that could be made to </w:t>
            </w:r>
            <w:r>
              <w:rPr>
                <w:rFonts w:cstheme="minorHAnsi"/>
              </w:rPr>
              <w:t>facilitate enhanced and/or more efficient integration</w:t>
            </w:r>
            <w:r w:rsidRPr="00236861">
              <w:rPr>
                <w:rFonts w:cstheme="minorHAnsi"/>
              </w:rPr>
              <w:t>?</w:t>
            </w:r>
          </w:p>
        </w:tc>
        <w:tc>
          <w:tcPr>
            <w:tcW w:w="4394" w:type="dxa"/>
            <w:vAlign w:val="center"/>
          </w:tcPr>
          <w:p w14:paraId="651F87C5"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09DE3B4C" w14:textId="77777777" w:rsidTr="00156B59">
        <w:trPr>
          <w:trHeight w:val="1412"/>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B12F737" w14:textId="77777777" w:rsidR="0017129F" w:rsidRDefault="0017129F" w:rsidP="0017129F">
            <w:pPr>
              <w:spacing w:after="120" w:line="276" w:lineRule="auto"/>
            </w:pPr>
          </w:p>
        </w:tc>
        <w:tc>
          <w:tcPr>
            <w:tcW w:w="552" w:type="dxa"/>
            <w:gridSpan w:val="2"/>
            <w:vAlign w:val="center"/>
          </w:tcPr>
          <w:p w14:paraId="51A2EF84" w14:textId="25876086"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b)</w:t>
            </w:r>
          </w:p>
        </w:tc>
        <w:tc>
          <w:tcPr>
            <w:tcW w:w="4288" w:type="dxa"/>
            <w:gridSpan w:val="2"/>
            <w:vAlign w:val="center"/>
          </w:tcPr>
          <w:p w14:paraId="72CB8294" w14:textId="70920DE7" w:rsidR="0017129F" w:rsidRPr="00FA5A5C"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5A5C">
              <w:rPr>
                <w:rFonts w:cstheme="minorHAnsi"/>
              </w:rPr>
              <w:t xml:space="preserve">If </w:t>
            </w:r>
            <w:r>
              <w:rPr>
                <w:rFonts w:cstheme="minorHAnsi"/>
              </w:rPr>
              <w:t>you answered “yes” to 1.</w:t>
            </w:r>
            <w:r w:rsidR="003B45D9">
              <w:rPr>
                <w:rFonts w:cstheme="minorHAnsi"/>
              </w:rPr>
              <w:t>6</w:t>
            </w:r>
            <w:r>
              <w:rPr>
                <w:rFonts w:cstheme="minorHAnsi"/>
              </w:rPr>
              <w:t xml:space="preserve">(a) above – </w:t>
            </w:r>
            <w:r w:rsidRPr="00FA5A5C">
              <w:rPr>
                <w:rFonts w:cstheme="minorHAnsi"/>
              </w:rPr>
              <w:t xml:space="preserve">could you provide any details of the changes that might improve the system and </w:t>
            </w:r>
            <w:r>
              <w:rPr>
                <w:rFonts w:cstheme="minorHAnsi"/>
              </w:rPr>
              <w:t>what benefits would accrue</w:t>
            </w:r>
            <w:r w:rsidRPr="00FA5A5C">
              <w:rPr>
                <w:rFonts w:cstheme="minorHAnsi"/>
              </w:rPr>
              <w:t>?</w:t>
            </w:r>
          </w:p>
        </w:tc>
        <w:tc>
          <w:tcPr>
            <w:tcW w:w="4394" w:type="dxa"/>
            <w:vAlign w:val="center"/>
          </w:tcPr>
          <w:p w14:paraId="045D49A0"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5B656381" w14:textId="77777777" w:rsidTr="00C53B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48AACC1E" w14:textId="56A8B340" w:rsidR="0017129F" w:rsidRPr="005415B4" w:rsidRDefault="0017129F" w:rsidP="0017129F">
            <w:pPr>
              <w:pStyle w:val="Heading2"/>
              <w:numPr>
                <w:ilvl w:val="0"/>
                <w:numId w:val="0"/>
              </w:numPr>
              <w:spacing w:before="60" w:after="120" w:line="276" w:lineRule="auto"/>
              <w:outlineLvl w:val="1"/>
            </w:pPr>
            <w:bookmarkStart w:id="17" w:name="_Toc7171261"/>
            <w:bookmarkStart w:id="18" w:name="_Toc8250283"/>
            <w:r w:rsidRPr="00DF200D">
              <w:rPr>
                <w:rStyle w:val="IntenseReference"/>
                <w:b/>
                <w:color w:val="FFFFFF" w:themeColor="background1"/>
              </w:rPr>
              <w:t>Section 2: DATA SUBMISSION ENHANCEMENTS</w:t>
            </w:r>
            <w:bookmarkEnd w:id="17"/>
            <w:bookmarkEnd w:id="18"/>
            <w:r w:rsidRPr="00DF200D">
              <w:rPr>
                <w:rStyle w:val="IntenseReference"/>
                <w:b/>
                <w:color w:val="FFFFFF" w:themeColor="background1"/>
              </w:rPr>
              <w:t xml:space="preserve"> </w:t>
            </w:r>
          </w:p>
        </w:tc>
      </w:tr>
      <w:tr w:rsidR="00947AD9" w:rsidRPr="00551628" w14:paraId="4599B792" w14:textId="77777777" w:rsidTr="00004DB5">
        <w:trPr>
          <w:trHeight w:val="707"/>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5BA72613" w14:textId="21083DFD" w:rsidR="00947AD9" w:rsidRPr="00551628" w:rsidRDefault="00947AD9" w:rsidP="0017129F">
            <w:pPr>
              <w:spacing w:after="120" w:line="276" w:lineRule="auto"/>
            </w:pPr>
            <w:r>
              <w:t>2.1</w:t>
            </w:r>
          </w:p>
        </w:tc>
        <w:tc>
          <w:tcPr>
            <w:tcW w:w="4840" w:type="dxa"/>
            <w:gridSpan w:val="4"/>
            <w:vAlign w:val="center"/>
          </w:tcPr>
          <w:p w14:paraId="1D9CD707" w14:textId="2F20077B" w:rsidR="00947AD9" w:rsidRPr="00536DF7"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u w:val="single"/>
              </w:rPr>
            </w:pPr>
            <w:r w:rsidRPr="00536DF7">
              <w:rPr>
                <w:u w:val="single"/>
              </w:rPr>
              <w:t>Proprietary Index Submission Process:</w:t>
            </w:r>
          </w:p>
          <w:p w14:paraId="40324EE8" w14:textId="6E00754A" w:rsidR="00947AD9"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7705F">
              <w:rPr>
                <w:rFonts w:eastAsia="Times New Roman" w:cstheme="minorHAnsi"/>
                <w:bCs/>
              </w:rPr>
              <w:t xml:space="preserve">The DSB currently supports a workflow that ensures that a Proprietary Index will be made available for the creation of </w:t>
            </w:r>
            <w:r>
              <w:rPr>
                <w:rFonts w:eastAsia="Times New Roman" w:cstheme="minorHAnsi"/>
                <w:bCs/>
              </w:rPr>
              <w:t xml:space="preserve">OTC </w:t>
            </w:r>
            <w:r w:rsidRPr="00F7705F">
              <w:rPr>
                <w:rFonts w:eastAsia="Times New Roman" w:cstheme="minorHAnsi"/>
                <w:bCs/>
              </w:rPr>
              <w:t xml:space="preserve">ISINs a maximum of 24 hours </w:t>
            </w:r>
            <w:r>
              <w:rPr>
                <w:rFonts w:eastAsia="Times New Roman" w:cstheme="minorHAnsi"/>
                <w:bCs/>
              </w:rPr>
              <w:t xml:space="preserve">(if the request is submitted on a business day) </w:t>
            </w:r>
            <w:r w:rsidRPr="00F7705F">
              <w:rPr>
                <w:rFonts w:eastAsia="Times New Roman" w:cstheme="minorHAnsi"/>
                <w:bCs/>
              </w:rPr>
              <w:t>following receipt of the initiating request.</w:t>
            </w:r>
            <w:r>
              <w:rPr>
                <w:rFonts w:eastAsia="Times New Roman" w:cstheme="minorHAnsi"/>
                <w:bCs/>
              </w:rPr>
              <w:t xml:space="preserve"> </w:t>
            </w:r>
          </w:p>
          <w:p w14:paraId="3DCDFFB7" w14:textId="70A32791" w:rsidR="00947AD9"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rPr>
                <w:rFonts w:eastAsia="Times New Roman" w:cstheme="minorHAnsi"/>
                <w:bCs/>
              </w:rPr>
              <w:t xml:space="preserve">This process allows users to submit indices for which they are responsible for later use as an underlying instrument in the creation of OTC derivative product records. The DSB then makes this data available via manual upload on to the DSB website, for download and consumption by users. </w:t>
            </w:r>
          </w:p>
          <w:p w14:paraId="7B75562B" w14:textId="77777777" w:rsidR="00004DB5"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 xml:space="preserve">Any amendments to the list (once available in the DSB’s Production systems, but where the underlying index in question has not been used in the creation of an OTC derivative product record) require between two to four weeks to allow for code changes ahead of implementation. </w:t>
            </w:r>
          </w:p>
          <w:p w14:paraId="7F931CA7" w14:textId="789B5E15"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rsidRPr="006B4E73">
              <w:t xml:space="preserve">The DSB currently updates the </w:t>
            </w:r>
            <w:hyperlink r:id="rId32" w:history="1">
              <w:r w:rsidRPr="005B2BE7">
                <w:rPr>
                  <w:rStyle w:val="Hyperlink"/>
                </w:rPr>
                <w:t xml:space="preserve">Proprietary Index </w:t>
              </w:r>
              <w:r>
                <w:rPr>
                  <w:rStyle w:val="Hyperlink"/>
                </w:rPr>
                <w:t>l</w:t>
              </w:r>
              <w:r w:rsidRPr="005B2BE7">
                <w:rPr>
                  <w:rStyle w:val="Hyperlink"/>
                </w:rPr>
                <w:t>ist</w:t>
              </w:r>
            </w:hyperlink>
            <w:r w:rsidRPr="006B4E73">
              <w:t xml:space="preserve"> manually with dependency on the information </w:t>
            </w:r>
            <w:r w:rsidRPr="006B4E73">
              <w:lastRenderedPageBreak/>
              <w:t xml:space="preserve">provided by the users. </w:t>
            </w:r>
            <w:r>
              <w:t>Va</w:t>
            </w:r>
            <w:r w:rsidRPr="006B4E73">
              <w:t xml:space="preserve">lidation </w:t>
            </w:r>
            <w:r>
              <w:t xml:space="preserve">is undertaken to ensure that each index name remains unique. </w:t>
            </w:r>
            <w:r w:rsidRPr="006B4E73">
              <w:t xml:space="preserve"> </w:t>
            </w:r>
          </w:p>
        </w:tc>
        <w:tc>
          <w:tcPr>
            <w:tcW w:w="4394" w:type="dxa"/>
            <w:vAlign w:val="center"/>
          </w:tcPr>
          <w:p w14:paraId="49BF2921" w14:textId="77777777"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947AD9" w:rsidRPr="00551628" w14:paraId="263BD6C1" w14:textId="77777777" w:rsidTr="00156B59">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A8347CA" w14:textId="77777777" w:rsidR="00947AD9" w:rsidRDefault="00947AD9" w:rsidP="0017129F">
            <w:pPr>
              <w:spacing w:after="120" w:line="276" w:lineRule="auto"/>
            </w:pPr>
          </w:p>
        </w:tc>
        <w:tc>
          <w:tcPr>
            <w:tcW w:w="552" w:type="dxa"/>
            <w:gridSpan w:val="2"/>
            <w:vAlign w:val="center"/>
          </w:tcPr>
          <w:p w14:paraId="4965F60F" w14:textId="0392F2FF" w:rsidR="00947AD9"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r>
              <w:t>a)</w:t>
            </w:r>
          </w:p>
        </w:tc>
        <w:tc>
          <w:tcPr>
            <w:tcW w:w="4288" w:type="dxa"/>
            <w:gridSpan w:val="2"/>
            <w:vAlign w:val="center"/>
          </w:tcPr>
          <w:p w14:paraId="679D89F1" w14:textId="7411DAB7" w:rsidR="00947AD9"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Does your firm make use of the proprietary index submission process? </w:t>
            </w:r>
          </w:p>
        </w:tc>
        <w:tc>
          <w:tcPr>
            <w:tcW w:w="4394" w:type="dxa"/>
            <w:vAlign w:val="center"/>
          </w:tcPr>
          <w:p w14:paraId="21C1E35B" w14:textId="77777777" w:rsidR="00947AD9" w:rsidRPr="00551628"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947AD9" w:rsidRPr="00551628" w14:paraId="50A554C6" w14:textId="77777777" w:rsidTr="00156B59">
        <w:trPr>
          <w:trHeight w:val="70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34BABA99" w14:textId="77777777" w:rsidR="00947AD9" w:rsidRDefault="00947AD9" w:rsidP="0017129F">
            <w:pPr>
              <w:spacing w:after="120" w:line="276" w:lineRule="auto"/>
            </w:pPr>
          </w:p>
        </w:tc>
        <w:tc>
          <w:tcPr>
            <w:tcW w:w="552" w:type="dxa"/>
            <w:gridSpan w:val="2"/>
            <w:vAlign w:val="center"/>
          </w:tcPr>
          <w:p w14:paraId="7A955752" w14:textId="6B7EB7CE"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t>b)</w:t>
            </w:r>
          </w:p>
        </w:tc>
        <w:tc>
          <w:tcPr>
            <w:tcW w:w="4288" w:type="dxa"/>
            <w:gridSpan w:val="2"/>
            <w:vAlign w:val="center"/>
          </w:tcPr>
          <w:p w14:paraId="45679C4E" w14:textId="370531EB" w:rsidR="00947AD9"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If you answered “yes” to 2.1(a) above - do you want the DSB to investigate the creation of </w:t>
            </w:r>
            <w:r w:rsidRPr="006B4E73">
              <w:t xml:space="preserve">a tool to ensure that the </w:t>
            </w:r>
            <w:r>
              <w:t xml:space="preserve">submitted </w:t>
            </w:r>
            <w:r w:rsidRPr="006B4E73">
              <w:t xml:space="preserve">information </w:t>
            </w:r>
            <w:r>
              <w:t>can be easily amended if changes are required by an institution and the underlying data element has not been used to create an OTC ISIN?</w:t>
            </w:r>
          </w:p>
          <w:p w14:paraId="4E43D987" w14:textId="56203E8F" w:rsidR="00947AD9" w:rsidRPr="006E34C1"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t xml:space="preserve">This would enable users to have changes available in a few days rather than the current 2 to 4-week process. </w:t>
            </w:r>
          </w:p>
        </w:tc>
        <w:tc>
          <w:tcPr>
            <w:tcW w:w="4394" w:type="dxa"/>
            <w:vAlign w:val="center"/>
          </w:tcPr>
          <w:p w14:paraId="1BFCE9E2" w14:textId="77777777"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947AD9" w:rsidRPr="00551628" w14:paraId="7FF77F50" w14:textId="77777777" w:rsidTr="00156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71B20951" w14:textId="77777777" w:rsidR="00947AD9" w:rsidRDefault="00947AD9" w:rsidP="0017129F">
            <w:pPr>
              <w:spacing w:after="120" w:line="276" w:lineRule="auto"/>
            </w:pPr>
          </w:p>
        </w:tc>
        <w:tc>
          <w:tcPr>
            <w:tcW w:w="552" w:type="dxa"/>
            <w:gridSpan w:val="2"/>
            <w:vAlign w:val="center"/>
          </w:tcPr>
          <w:p w14:paraId="561C5D03" w14:textId="44935BEB" w:rsidR="00947AD9" w:rsidRPr="00551628"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r>
              <w:t>c)</w:t>
            </w:r>
          </w:p>
        </w:tc>
        <w:tc>
          <w:tcPr>
            <w:tcW w:w="4288" w:type="dxa"/>
            <w:gridSpan w:val="2"/>
            <w:vAlign w:val="center"/>
          </w:tcPr>
          <w:p w14:paraId="19292E35" w14:textId="5DA102AA" w:rsidR="00947AD9" w:rsidRPr="00551628"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r w:rsidRPr="00CC2266">
              <w:rPr>
                <w:rFonts w:cstheme="minorHAnsi"/>
              </w:rPr>
              <w:t xml:space="preserve">Do you consider that there is a need for </w:t>
            </w:r>
            <w:r>
              <w:rPr>
                <w:rFonts w:cstheme="minorHAnsi"/>
              </w:rPr>
              <w:t>the new Proprietary Index inclusion timeframe of 24-hours</w:t>
            </w:r>
            <w:r w:rsidRPr="00CC2266">
              <w:rPr>
                <w:rFonts w:cstheme="minorHAnsi"/>
              </w:rPr>
              <w:t xml:space="preserve"> to be reduced?</w:t>
            </w:r>
          </w:p>
        </w:tc>
        <w:tc>
          <w:tcPr>
            <w:tcW w:w="4394" w:type="dxa"/>
            <w:vAlign w:val="center"/>
          </w:tcPr>
          <w:p w14:paraId="5BDE733B" w14:textId="77777777" w:rsidR="00947AD9" w:rsidRPr="00551628"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947AD9" w:rsidRPr="00551628" w14:paraId="6736D4D7" w14:textId="77777777" w:rsidTr="00156B59">
        <w:trPr>
          <w:trHeight w:val="164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476FEDB" w14:textId="77777777" w:rsidR="00947AD9" w:rsidRDefault="00947AD9" w:rsidP="0017129F">
            <w:pPr>
              <w:spacing w:after="120" w:line="276" w:lineRule="auto"/>
            </w:pPr>
          </w:p>
        </w:tc>
        <w:tc>
          <w:tcPr>
            <w:tcW w:w="552" w:type="dxa"/>
            <w:gridSpan w:val="2"/>
            <w:vAlign w:val="center"/>
          </w:tcPr>
          <w:p w14:paraId="441BF824" w14:textId="465BCB58"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t>d)</w:t>
            </w:r>
          </w:p>
        </w:tc>
        <w:tc>
          <w:tcPr>
            <w:tcW w:w="4288" w:type="dxa"/>
            <w:gridSpan w:val="2"/>
            <w:vAlign w:val="center"/>
          </w:tcPr>
          <w:p w14:paraId="000B5C17" w14:textId="2E8392AE" w:rsidR="00947AD9" w:rsidRPr="00217EBB"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217EBB">
              <w:rPr>
                <w:rFonts w:cstheme="minorHAnsi"/>
              </w:rPr>
              <w:t xml:space="preserve">If </w:t>
            </w:r>
            <w:r>
              <w:rPr>
                <w:rFonts w:cstheme="minorHAnsi"/>
              </w:rPr>
              <w:t xml:space="preserve">you answered “yes” to 2.1(c) above - </w:t>
            </w:r>
            <w:r w:rsidRPr="00217EBB">
              <w:rPr>
                <w:rFonts w:cstheme="minorHAnsi"/>
              </w:rPr>
              <w:t xml:space="preserve">what is the required time (from request) for a Proprietary Index to be made available for the creation of </w:t>
            </w:r>
            <w:r>
              <w:rPr>
                <w:rFonts w:cstheme="minorHAnsi"/>
              </w:rPr>
              <w:t xml:space="preserve">OTC </w:t>
            </w:r>
            <w:r w:rsidRPr="00217EBB">
              <w:rPr>
                <w:rFonts w:cstheme="minorHAnsi"/>
              </w:rPr>
              <w:t xml:space="preserve">ISINs? Could you provide use cases to support this view? </w:t>
            </w:r>
          </w:p>
        </w:tc>
        <w:tc>
          <w:tcPr>
            <w:tcW w:w="4394" w:type="dxa"/>
            <w:vAlign w:val="center"/>
          </w:tcPr>
          <w:p w14:paraId="4ED89E1E" w14:textId="77777777"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947AD9" w:rsidRPr="00551628" w14:paraId="2A0B2609" w14:textId="77777777" w:rsidTr="00156B59">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32C9952C" w14:textId="77777777" w:rsidR="00947AD9" w:rsidRDefault="00947AD9" w:rsidP="0017129F">
            <w:pPr>
              <w:spacing w:after="120" w:line="276" w:lineRule="auto"/>
            </w:pPr>
          </w:p>
        </w:tc>
        <w:tc>
          <w:tcPr>
            <w:tcW w:w="552" w:type="dxa"/>
            <w:gridSpan w:val="2"/>
            <w:vAlign w:val="center"/>
          </w:tcPr>
          <w:p w14:paraId="7A6C76F2" w14:textId="654D8423" w:rsidR="00947AD9"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r>
              <w:t>e)</w:t>
            </w:r>
          </w:p>
        </w:tc>
        <w:tc>
          <w:tcPr>
            <w:tcW w:w="4288" w:type="dxa"/>
            <w:gridSpan w:val="2"/>
            <w:vAlign w:val="center"/>
          </w:tcPr>
          <w:p w14:paraId="2E1C2A6F" w14:textId="3CBE9CC1" w:rsidR="00947AD9" w:rsidRPr="00217EBB"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you a</w:t>
            </w:r>
            <w:r w:rsidR="0044710E">
              <w:rPr>
                <w:rFonts w:cstheme="minorHAnsi"/>
              </w:rPr>
              <w:t xml:space="preserve">nswered “yes” to 2.1(a) above - </w:t>
            </w:r>
            <w:r>
              <w:rPr>
                <w:rFonts w:cstheme="minorHAnsi"/>
              </w:rPr>
              <w:t xml:space="preserve">do you want the DSB to investigate the provision of an automated user submission process? </w:t>
            </w:r>
          </w:p>
        </w:tc>
        <w:tc>
          <w:tcPr>
            <w:tcW w:w="4394" w:type="dxa"/>
            <w:vAlign w:val="center"/>
          </w:tcPr>
          <w:p w14:paraId="0994BC5E" w14:textId="77777777" w:rsidR="00947AD9" w:rsidRPr="00551628" w:rsidRDefault="00947AD9"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947AD9" w:rsidRPr="00551628" w14:paraId="4A887EA7" w14:textId="77777777" w:rsidTr="00004DB5">
        <w:trPr>
          <w:trHeight w:val="289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2FBBB6CB" w14:textId="77777777" w:rsidR="00947AD9" w:rsidRDefault="00947AD9" w:rsidP="0017129F">
            <w:pPr>
              <w:spacing w:after="120" w:line="276" w:lineRule="auto"/>
            </w:pPr>
          </w:p>
        </w:tc>
        <w:tc>
          <w:tcPr>
            <w:tcW w:w="552" w:type="dxa"/>
            <w:gridSpan w:val="2"/>
            <w:vAlign w:val="center"/>
          </w:tcPr>
          <w:p w14:paraId="4F604670" w14:textId="6113EF91" w:rsidR="00947AD9"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r>
              <w:t>f)</w:t>
            </w:r>
          </w:p>
        </w:tc>
        <w:tc>
          <w:tcPr>
            <w:tcW w:w="4288" w:type="dxa"/>
            <w:gridSpan w:val="2"/>
            <w:vAlign w:val="center"/>
          </w:tcPr>
          <w:p w14:paraId="3B7B1579" w14:textId="77907A57" w:rsidR="00947AD9" w:rsidRPr="00217EBB"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w:t>
            </w:r>
            <w:r w:rsidR="0044710E">
              <w:rPr>
                <w:rFonts w:cstheme="minorHAnsi"/>
              </w:rPr>
              <w:t xml:space="preserve">answered “yes” to 2.1(a) above - </w:t>
            </w:r>
            <w:r>
              <w:rPr>
                <w:rFonts w:cstheme="minorHAnsi"/>
              </w:rPr>
              <w:t xml:space="preserve">do you want the DSB to investigate the automated provision of the full list of proprietary indices in a machine-readable format? </w:t>
            </w:r>
          </w:p>
        </w:tc>
        <w:tc>
          <w:tcPr>
            <w:tcW w:w="4394" w:type="dxa"/>
            <w:vAlign w:val="center"/>
          </w:tcPr>
          <w:p w14:paraId="7BF3942D" w14:textId="77777777" w:rsidR="00947AD9" w:rsidRPr="00551628" w:rsidRDefault="00947AD9"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228BDEDA" w14:textId="77777777" w:rsidTr="00BC639C">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35243B0D" w14:textId="515F4B8F" w:rsidR="0017129F" w:rsidRPr="00551628" w:rsidRDefault="0017129F" w:rsidP="0017129F">
            <w:pPr>
              <w:spacing w:after="120" w:line="276" w:lineRule="auto"/>
            </w:pPr>
            <w:r>
              <w:lastRenderedPageBreak/>
              <w:t>2.2</w:t>
            </w:r>
          </w:p>
        </w:tc>
        <w:tc>
          <w:tcPr>
            <w:tcW w:w="4840" w:type="dxa"/>
            <w:gridSpan w:val="4"/>
            <w:vAlign w:val="center"/>
          </w:tcPr>
          <w:p w14:paraId="1BE381FE" w14:textId="0529194E" w:rsidR="0017129F" w:rsidRPr="00551628"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pPr>
            <w:r w:rsidRPr="00D133F1">
              <w:rPr>
                <w:u w:val="single"/>
              </w:rPr>
              <w:t xml:space="preserve">Leveraging the </w:t>
            </w:r>
            <w:r>
              <w:rPr>
                <w:u w:val="single"/>
              </w:rPr>
              <w:t xml:space="preserve">recently introduced </w:t>
            </w:r>
            <w:hyperlink r:id="rId33" w:history="1">
              <w:r w:rsidRPr="001D5165">
                <w:rPr>
                  <w:rStyle w:val="Hyperlink"/>
                </w:rPr>
                <w:t>ISIN &lt;&gt; LEI mapping facility</w:t>
              </w:r>
            </w:hyperlink>
            <w:r>
              <w:t xml:space="preserve"> to enhance the quality of credit reference data</w:t>
            </w:r>
          </w:p>
        </w:tc>
        <w:tc>
          <w:tcPr>
            <w:tcW w:w="4394" w:type="dxa"/>
            <w:vAlign w:val="center"/>
          </w:tcPr>
          <w:p w14:paraId="01FEAEFD"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3B99EDA4" w14:textId="77777777" w:rsidTr="00156B59">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D827FE7" w14:textId="77777777" w:rsidR="0017129F" w:rsidRDefault="0017129F" w:rsidP="0017129F">
            <w:pPr>
              <w:spacing w:after="120" w:line="276" w:lineRule="auto"/>
            </w:pPr>
          </w:p>
        </w:tc>
        <w:tc>
          <w:tcPr>
            <w:tcW w:w="552" w:type="dxa"/>
            <w:gridSpan w:val="2"/>
            <w:vAlign w:val="center"/>
          </w:tcPr>
          <w:p w14:paraId="4271C504" w14:textId="1F3CD9F4"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a)</w:t>
            </w:r>
          </w:p>
        </w:tc>
        <w:tc>
          <w:tcPr>
            <w:tcW w:w="4288" w:type="dxa"/>
            <w:gridSpan w:val="2"/>
            <w:vAlign w:val="center"/>
          </w:tcPr>
          <w:p w14:paraId="21A00D49" w14:textId="5FFA3002"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Does your firm use the DSB to either create or search (direct or via end of day files) for credit derivative reference data? </w:t>
            </w:r>
          </w:p>
        </w:tc>
        <w:tc>
          <w:tcPr>
            <w:tcW w:w="4394" w:type="dxa"/>
            <w:vAlign w:val="center"/>
          </w:tcPr>
          <w:p w14:paraId="142A7367"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21AA7144" w14:textId="77777777" w:rsidTr="00156B5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553CBB54" w14:textId="77777777" w:rsidR="0017129F" w:rsidRDefault="0017129F" w:rsidP="0017129F">
            <w:pPr>
              <w:spacing w:after="120" w:line="276" w:lineRule="auto"/>
            </w:pPr>
          </w:p>
        </w:tc>
        <w:tc>
          <w:tcPr>
            <w:tcW w:w="552" w:type="dxa"/>
            <w:gridSpan w:val="2"/>
            <w:vAlign w:val="center"/>
          </w:tcPr>
          <w:p w14:paraId="15EB7756" w14:textId="79D6C5B5"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b) </w:t>
            </w:r>
          </w:p>
        </w:tc>
        <w:tc>
          <w:tcPr>
            <w:tcW w:w="4288" w:type="dxa"/>
            <w:gridSpan w:val="2"/>
            <w:vAlign w:val="center"/>
          </w:tcPr>
          <w:p w14:paraId="054DCE5A" w14:textId="3944AEEC"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If you answered “yes” to 2.2(a) above – where a user submits an underlying ISIN for a credit default swap, do you want the DSB to investigate   connecting to the new LEI-ISIN mapping API in order to also provide the LEI (in all instances where it is available) as part of the associated OTC ISIN record?  </w:t>
            </w:r>
          </w:p>
        </w:tc>
        <w:tc>
          <w:tcPr>
            <w:tcW w:w="4394" w:type="dxa"/>
            <w:vAlign w:val="center"/>
          </w:tcPr>
          <w:p w14:paraId="14F1F757"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43E21C0D" w14:textId="77777777" w:rsidTr="00156B59">
        <w:trPr>
          <w:trHeight w:val="1132"/>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4E70A48" w14:textId="77777777" w:rsidR="0017129F" w:rsidRDefault="0017129F" w:rsidP="0017129F">
            <w:pPr>
              <w:spacing w:after="120" w:line="276" w:lineRule="auto"/>
            </w:pPr>
          </w:p>
        </w:tc>
        <w:tc>
          <w:tcPr>
            <w:tcW w:w="552" w:type="dxa"/>
            <w:gridSpan w:val="2"/>
            <w:vAlign w:val="center"/>
          </w:tcPr>
          <w:p w14:paraId="2E823237" w14:textId="005F9439"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c)</w:t>
            </w:r>
          </w:p>
        </w:tc>
        <w:tc>
          <w:tcPr>
            <w:tcW w:w="4288" w:type="dxa"/>
            <w:gridSpan w:val="2"/>
            <w:vAlign w:val="center"/>
          </w:tcPr>
          <w:p w14:paraId="5C0B5CB5" w14:textId="77777777"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Users have suggested that the DSB should leverage the recently developed ISIN-LEI mapping facility to support data submission for Credit Default Swaps (CDS), so that use of the DSB’s Corporate CDS product template only allows underlying corporate bond ISINs to be input by users. The same principle also extends to the use of each of the Municipal and Sovereign CDS product templates. </w:t>
            </w:r>
          </w:p>
          <w:p w14:paraId="5C8AA784" w14:textId="3B3E60D6"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Such an enhancement would mean that a user attempting to create a Corporate CDS would not be able to submit an underlying bond ISIN associated with a LEI mapped to a sovereign issuer.</w:t>
            </w:r>
          </w:p>
          <w:p w14:paraId="53CD3B73" w14:textId="3AE98A00" w:rsidR="0017129F" w:rsidRDefault="00004DB5" w:rsidP="0017129F">
            <w:pPr>
              <w:spacing w:after="120" w:line="276" w:lineRule="auto"/>
              <w:cnfStyle w:val="000000000000" w:firstRow="0" w:lastRow="0" w:firstColumn="0" w:lastColumn="0" w:oddVBand="0" w:evenVBand="0" w:oddHBand="0" w:evenHBand="0" w:firstRowFirstColumn="0" w:firstRowLastColumn="0" w:lastRowFirstColumn="0" w:lastRowLastColumn="0"/>
            </w:pPr>
            <w:r w:rsidRPr="00004DB5">
              <w:rPr>
                <w:b/>
              </w:rPr>
              <w:t>Question:</w:t>
            </w:r>
            <w:r>
              <w:t xml:space="preserve"> </w:t>
            </w:r>
            <w:r w:rsidR="0017129F">
              <w:t xml:space="preserve">If you answered “yes” to 2.2(a) above – do you want the DSB to investigate the provision of supplemental  data alongside that contained in the new LEI-ISIN mapping API in order to systematically validate whether the underlying ISIN provided by the user at the time of ISIN creation maps to the type of reference data, the user is seeking to create?  </w:t>
            </w:r>
          </w:p>
        </w:tc>
        <w:tc>
          <w:tcPr>
            <w:tcW w:w="4394" w:type="dxa"/>
            <w:vAlign w:val="center"/>
          </w:tcPr>
          <w:p w14:paraId="036E91F5"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071C1AAD" w14:textId="77777777" w:rsidTr="00156B59">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684" w:type="dxa"/>
            <w:vAlign w:val="center"/>
          </w:tcPr>
          <w:p w14:paraId="79AD5120" w14:textId="77777777" w:rsidR="0017129F" w:rsidRDefault="0017129F" w:rsidP="0017129F">
            <w:pPr>
              <w:spacing w:after="120" w:line="276" w:lineRule="auto"/>
            </w:pPr>
          </w:p>
        </w:tc>
        <w:tc>
          <w:tcPr>
            <w:tcW w:w="552" w:type="dxa"/>
            <w:gridSpan w:val="2"/>
            <w:vAlign w:val="center"/>
          </w:tcPr>
          <w:p w14:paraId="090E281F" w14:textId="70D5ACC9"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d)</w:t>
            </w:r>
          </w:p>
        </w:tc>
        <w:tc>
          <w:tcPr>
            <w:tcW w:w="4288" w:type="dxa"/>
            <w:gridSpan w:val="2"/>
            <w:vAlign w:val="center"/>
          </w:tcPr>
          <w:p w14:paraId="7F25EB86" w14:textId="606886E7"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Do you need the DSB to investigate the provision of any other supplemental data that leverages the new ISIN-LEI facility, in order to facilitate your firm’s OTC derivative related processes – either pre or post trade? </w:t>
            </w:r>
          </w:p>
        </w:tc>
        <w:tc>
          <w:tcPr>
            <w:tcW w:w="4394" w:type="dxa"/>
            <w:vAlign w:val="center"/>
          </w:tcPr>
          <w:p w14:paraId="6CC971B5"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4C6D0220" w14:textId="77777777" w:rsidTr="00156B59">
        <w:trPr>
          <w:trHeight w:val="1132"/>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82C4433" w14:textId="77777777" w:rsidR="0017129F" w:rsidRDefault="0017129F" w:rsidP="0017129F">
            <w:pPr>
              <w:spacing w:after="120" w:line="276" w:lineRule="auto"/>
            </w:pPr>
          </w:p>
        </w:tc>
        <w:tc>
          <w:tcPr>
            <w:tcW w:w="552" w:type="dxa"/>
            <w:gridSpan w:val="2"/>
            <w:vAlign w:val="center"/>
          </w:tcPr>
          <w:p w14:paraId="65412494" w14:textId="0C18873F"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e)</w:t>
            </w:r>
          </w:p>
        </w:tc>
        <w:tc>
          <w:tcPr>
            <w:tcW w:w="4288" w:type="dxa"/>
            <w:gridSpan w:val="2"/>
            <w:vAlign w:val="center"/>
          </w:tcPr>
          <w:p w14:paraId="0F25299F" w14:textId="2D98EA5B"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If you answered “yes” to 2.2(d) above – please provide specific examples. </w:t>
            </w:r>
          </w:p>
        </w:tc>
        <w:tc>
          <w:tcPr>
            <w:tcW w:w="4394" w:type="dxa"/>
            <w:vAlign w:val="center"/>
          </w:tcPr>
          <w:p w14:paraId="1FBA62CC"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175FF2A6" w14:textId="77777777" w:rsidTr="00156B5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26C2A54A" w14:textId="3638979D" w:rsidR="0017129F" w:rsidRDefault="0017129F" w:rsidP="0017129F">
            <w:pPr>
              <w:spacing w:after="120" w:line="276" w:lineRule="auto"/>
            </w:pPr>
            <w:r>
              <w:t>2.3</w:t>
            </w:r>
          </w:p>
        </w:tc>
        <w:tc>
          <w:tcPr>
            <w:tcW w:w="4840" w:type="dxa"/>
            <w:gridSpan w:val="4"/>
            <w:vAlign w:val="center"/>
          </w:tcPr>
          <w:p w14:paraId="17DC74E5" w14:textId="452B0BF6" w:rsidR="0017129F" w:rsidRPr="004135DF" w:rsidRDefault="0017129F" w:rsidP="0017129F">
            <w:pPr>
              <w:spacing w:before="120" w:after="120" w:line="276" w:lineRule="auto"/>
              <w:cnfStyle w:val="000000100000" w:firstRow="0" w:lastRow="0" w:firstColumn="0" w:lastColumn="0" w:oddVBand="0" w:evenVBand="0" w:oddHBand="1" w:evenHBand="0" w:firstRowFirstColumn="0" w:firstRowLastColumn="0" w:lastRowFirstColumn="0" w:lastRowLastColumn="0"/>
              <w:rPr>
                <w:u w:val="single"/>
              </w:rPr>
            </w:pPr>
            <w:r w:rsidRPr="004135DF">
              <w:rPr>
                <w:u w:val="single"/>
              </w:rPr>
              <w:t xml:space="preserve">Mapping of index and/or reference rate names and underlying identifiers where these are available  </w:t>
            </w:r>
          </w:p>
          <w:p w14:paraId="6A3D6CA1" w14:textId="0291CBFF" w:rsidR="0017129F" w:rsidRDefault="00676106" w:rsidP="0017129F">
            <w:pPr>
              <w:spacing w:after="120" w:line="276" w:lineRule="auto"/>
              <w:cnfStyle w:val="000000100000" w:firstRow="0" w:lastRow="0" w:firstColumn="0" w:lastColumn="0" w:oddVBand="0" w:evenVBand="0" w:oddHBand="1" w:evenHBand="0" w:firstRowFirstColumn="0" w:firstRowLastColumn="0" w:lastRowFirstColumn="0" w:lastRowLastColumn="0"/>
            </w:pPr>
            <w:r>
              <w:t>Currently, DSB u</w:t>
            </w:r>
            <w:r w:rsidR="0017129F" w:rsidRPr="009C366E">
              <w:t xml:space="preserve">sers create </w:t>
            </w:r>
            <w:r w:rsidR="0017129F">
              <w:t>OTC ISINs and CFI codes for index and/or reference rate related d</w:t>
            </w:r>
            <w:r w:rsidR="0017129F" w:rsidRPr="009C366E">
              <w:t>erivatives</w:t>
            </w:r>
            <w:r w:rsidR="0017129F">
              <w:t xml:space="preserve"> b</w:t>
            </w:r>
            <w:r w:rsidR="005A122A">
              <w:t xml:space="preserve">y selecting </w:t>
            </w:r>
            <w:r w:rsidR="0017129F">
              <w:t xml:space="preserve">the name of the reference rate and/or underlying index, but frequently report an underlying identifier </w:t>
            </w:r>
            <w:r w:rsidR="000C692F">
              <w:t xml:space="preserve">(usually the underlying ISIN) </w:t>
            </w:r>
            <w:r w:rsidR="0017129F">
              <w:t xml:space="preserve">in the records submitted to regulators. </w:t>
            </w:r>
          </w:p>
          <w:p w14:paraId="271AE998" w14:textId="23C690B1" w:rsidR="00CC0753" w:rsidRDefault="00CC0753"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DSB currently maps underlying equity index names to associated ISINs – based on ad-hoc user feedback and updates. </w:t>
            </w:r>
            <w:r w:rsidR="005A2F9C">
              <w:rPr>
                <w:rFonts w:ascii="Calibri" w:hAnsi="Calibri"/>
              </w:rPr>
              <w:t xml:space="preserve">Where an underlying ISIN mapping exists, the DSB converts the underlying index name into the relevant underlying ISIN, so that only the underlying ISIN is available in the OTC ISIN record. </w:t>
            </w:r>
          </w:p>
          <w:p w14:paraId="13A98D87" w14:textId="3DC27050" w:rsidR="005A2F9C" w:rsidRDefault="0067417E"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current process requires that </w:t>
            </w:r>
            <w:r w:rsidR="005A2F9C">
              <w:rPr>
                <w:rFonts w:ascii="Calibri" w:hAnsi="Calibri"/>
              </w:rPr>
              <w:t xml:space="preserve">users searching for OTC derivatives on an index need to be aware of the associated underlying ISIN and search for both the index name and the underlying ISIN in order to identify whether </w:t>
            </w:r>
            <w:r w:rsidR="00973479">
              <w:rPr>
                <w:rFonts w:ascii="Calibri" w:hAnsi="Calibri"/>
              </w:rPr>
              <w:t xml:space="preserve">the relevant OTC derivative data record exists in the DSB database. </w:t>
            </w:r>
          </w:p>
          <w:p w14:paraId="3BD20264" w14:textId="4213B51C"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The DSB has received user requests to proactively support </w:t>
            </w:r>
            <w:r w:rsidR="003A4048">
              <w:t xml:space="preserve">systematic </w:t>
            </w:r>
            <w:r>
              <w:t xml:space="preserve">mapping </w:t>
            </w:r>
            <w:r w:rsidR="00ED29E4">
              <w:t xml:space="preserve">(and publication) </w:t>
            </w:r>
            <w:r>
              <w:t xml:space="preserve">that would allow users creating an OTC </w:t>
            </w:r>
            <w:r w:rsidR="003A4048">
              <w:t xml:space="preserve">derivative </w:t>
            </w:r>
            <w:r>
              <w:t xml:space="preserve">ISIN </w:t>
            </w:r>
            <w:r w:rsidR="003A4048">
              <w:t xml:space="preserve">or CFI code </w:t>
            </w:r>
            <w:r>
              <w:t xml:space="preserve">to be able to consistently submit either the underlying index identifier or the name, with the DSB mapping between the two to ensure that only a single valid OTC derivative product record is created in each instance. </w:t>
            </w:r>
          </w:p>
        </w:tc>
        <w:tc>
          <w:tcPr>
            <w:tcW w:w="4394" w:type="dxa"/>
            <w:vAlign w:val="center"/>
          </w:tcPr>
          <w:p w14:paraId="02B2908C"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225008A3" w14:textId="77777777" w:rsidTr="00004DB5">
        <w:trPr>
          <w:trHeight w:val="137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AA8FB9F" w14:textId="77777777" w:rsidR="0017129F" w:rsidRDefault="0017129F" w:rsidP="0017129F">
            <w:pPr>
              <w:spacing w:after="120" w:line="276" w:lineRule="auto"/>
            </w:pPr>
          </w:p>
        </w:tc>
        <w:tc>
          <w:tcPr>
            <w:tcW w:w="552" w:type="dxa"/>
            <w:gridSpan w:val="2"/>
            <w:vAlign w:val="center"/>
          </w:tcPr>
          <w:p w14:paraId="0FC9AC93" w14:textId="16F6BE81"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a)</w:t>
            </w:r>
          </w:p>
        </w:tc>
        <w:tc>
          <w:tcPr>
            <w:tcW w:w="4288" w:type="dxa"/>
            <w:gridSpan w:val="2"/>
            <w:vAlign w:val="center"/>
          </w:tcPr>
          <w:p w14:paraId="46EE4484" w14:textId="5BC1FA80" w:rsidR="0017129F" w:rsidRPr="00551628" w:rsidRDefault="0017129F" w:rsidP="0017129F">
            <w:pPr>
              <w:spacing w:before="120" w:after="120" w:line="276" w:lineRule="auto"/>
              <w:cnfStyle w:val="000000000000" w:firstRow="0" w:lastRow="0" w:firstColumn="0" w:lastColumn="0" w:oddVBand="0" w:evenVBand="0" w:oddHBand="0" w:evenHBand="0" w:firstRowFirstColumn="0" w:firstRowLastColumn="0" w:lastRowFirstColumn="0" w:lastRowLastColumn="0"/>
            </w:pPr>
            <w:r>
              <w:t>Does your firm use the DSB to create and/or search for OTC ISIN data for derivatives with an index and/or reference rate as an underlying instrument?</w:t>
            </w:r>
          </w:p>
        </w:tc>
        <w:tc>
          <w:tcPr>
            <w:tcW w:w="4394" w:type="dxa"/>
            <w:vAlign w:val="center"/>
          </w:tcPr>
          <w:p w14:paraId="3DC74FE0"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735856A0" w14:textId="77777777" w:rsidTr="00004DB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73681AE5" w14:textId="77777777" w:rsidR="0017129F" w:rsidRDefault="0017129F" w:rsidP="0017129F">
            <w:pPr>
              <w:spacing w:after="120" w:line="276" w:lineRule="auto"/>
            </w:pPr>
          </w:p>
        </w:tc>
        <w:tc>
          <w:tcPr>
            <w:tcW w:w="552" w:type="dxa"/>
            <w:gridSpan w:val="2"/>
            <w:vAlign w:val="center"/>
          </w:tcPr>
          <w:p w14:paraId="7BDCC08B" w14:textId="163F521F"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b) </w:t>
            </w:r>
          </w:p>
        </w:tc>
        <w:tc>
          <w:tcPr>
            <w:tcW w:w="4288" w:type="dxa"/>
            <w:gridSpan w:val="2"/>
            <w:vAlign w:val="center"/>
          </w:tcPr>
          <w:p w14:paraId="5ED3905A" w14:textId="2654E82A"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If you answered “yes” to 2.3(a) above - should the DSB i</w:t>
            </w:r>
            <w:r w:rsidRPr="009C366E">
              <w:t xml:space="preserve">nvestigate provision of </w:t>
            </w:r>
            <w:r>
              <w:t xml:space="preserve">links to sources that might assist with </w:t>
            </w:r>
            <w:r w:rsidRPr="009C366E">
              <w:t>mapping between the underlying index/reference rate names</w:t>
            </w:r>
            <w:r>
              <w:t>?</w:t>
            </w:r>
          </w:p>
        </w:tc>
        <w:tc>
          <w:tcPr>
            <w:tcW w:w="4394" w:type="dxa"/>
            <w:vAlign w:val="center"/>
          </w:tcPr>
          <w:p w14:paraId="7555B046"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6FA7BB55" w14:textId="77777777" w:rsidTr="00004DB5">
        <w:trPr>
          <w:trHeight w:val="1685"/>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6E1BDB3" w14:textId="77777777" w:rsidR="0017129F" w:rsidRDefault="0017129F" w:rsidP="0017129F">
            <w:pPr>
              <w:spacing w:after="120" w:line="276" w:lineRule="auto"/>
            </w:pPr>
          </w:p>
        </w:tc>
        <w:tc>
          <w:tcPr>
            <w:tcW w:w="552" w:type="dxa"/>
            <w:gridSpan w:val="2"/>
            <w:vAlign w:val="center"/>
          </w:tcPr>
          <w:p w14:paraId="7D37745C" w14:textId="5EFA76BF"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c)</w:t>
            </w:r>
          </w:p>
        </w:tc>
        <w:tc>
          <w:tcPr>
            <w:tcW w:w="4288" w:type="dxa"/>
            <w:gridSpan w:val="2"/>
            <w:vAlign w:val="center"/>
          </w:tcPr>
          <w:p w14:paraId="5377E2AF" w14:textId="1B17BE93"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If you answered “yes” to 2.3(b) above – do you have a view on which identifiers should be used to assist with the mapping process and the most appropriate source of each identifier? </w:t>
            </w:r>
          </w:p>
        </w:tc>
        <w:tc>
          <w:tcPr>
            <w:tcW w:w="4394" w:type="dxa"/>
            <w:vAlign w:val="center"/>
          </w:tcPr>
          <w:p w14:paraId="394037C1"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1A5E7652" w14:textId="77777777" w:rsidTr="00004DB5">
        <w:trPr>
          <w:cnfStyle w:val="000000100000" w:firstRow="0" w:lastRow="0" w:firstColumn="0" w:lastColumn="0" w:oddVBand="0" w:evenVBand="0" w:oddHBand="1" w:evenHBand="0" w:firstRowFirstColumn="0" w:firstRowLastColumn="0" w:lastRowFirstColumn="0" w:lastRowLastColumn="0"/>
          <w:trHeight w:val="6957"/>
        </w:trPr>
        <w:tc>
          <w:tcPr>
            <w:cnfStyle w:val="001000000000" w:firstRow="0" w:lastRow="0" w:firstColumn="1" w:lastColumn="0" w:oddVBand="0" w:evenVBand="0" w:oddHBand="0" w:evenHBand="0" w:firstRowFirstColumn="0" w:firstRowLastColumn="0" w:lastRowFirstColumn="0" w:lastRowLastColumn="0"/>
            <w:tcW w:w="704" w:type="dxa"/>
            <w:gridSpan w:val="2"/>
            <w:vAlign w:val="center"/>
          </w:tcPr>
          <w:p w14:paraId="24C01D81" w14:textId="77777777" w:rsidR="0017129F" w:rsidRDefault="0017129F" w:rsidP="0017129F">
            <w:pPr>
              <w:spacing w:after="120" w:line="276" w:lineRule="auto"/>
            </w:pPr>
            <w:r>
              <w:t>2.4</w:t>
            </w:r>
          </w:p>
        </w:tc>
        <w:tc>
          <w:tcPr>
            <w:tcW w:w="4820" w:type="dxa"/>
            <w:gridSpan w:val="3"/>
            <w:vAlign w:val="center"/>
          </w:tcPr>
          <w:p w14:paraId="37ACD594" w14:textId="552E3380" w:rsidR="0017129F" w:rsidRDefault="0017129F" w:rsidP="00B65D89">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DSB undertakes a series of data normalization and data validation checks in the course of OTC derivative product record creation, with the current ruleset available </w:t>
            </w:r>
            <w:hyperlink r:id="rId34" w:history="1">
              <w:r w:rsidRPr="0017406C">
                <w:rPr>
                  <w:rStyle w:val="Hyperlink"/>
                  <w:rFonts w:cstheme="minorHAnsi"/>
                </w:rPr>
                <w:t>here</w:t>
              </w:r>
            </w:hyperlink>
            <w:r>
              <w:rPr>
                <w:rFonts w:cstheme="minorHAnsi"/>
              </w:rPr>
              <w:t xml:space="preserve"> for all products excluding non-standard instruments and </w:t>
            </w:r>
            <w:hyperlink r:id="rId35" w:history="1">
              <w:r w:rsidRPr="002D7FEC">
                <w:rPr>
                  <w:rStyle w:val="Hyperlink"/>
                  <w:rFonts w:cstheme="minorHAnsi"/>
                </w:rPr>
                <w:t>here for non-standard instruments</w:t>
              </w:r>
            </w:hyperlink>
            <w:r>
              <w:rPr>
                <w:rFonts w:cstheme="minorHAnsi"/>
              </w:rPr>
              <w:t xml:space="preserve"> for review. Examples of the best practice published by the DSB is available </w:t>
            </w:r>
            <w:hyperlink r:id="rId36" w:history="1">
              <w:r w:rsidRPr="00184BF6">
                <w:rPr>
                  <w:rStyle w:val="Hyperlink"/>
                  <w:rFonts w:cstheme="minorHAnsi"/>
                </w:rPr>
                <w:t>here</w:t>
              </w:r>
            </w:hyperlink>
            <w:r>
              <w:rPr>
                <w:rFonts w:cstheme="minorHAnsi"/>
              </w:rPr>
              <w:t xml:space="preserve">. </w:t>
            </w:r>
          </w:p>
          <w:p w14:paraId="50B86B57" w14:textId="263083E1"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DSB proactively updates its ruleset in conjunction with support from the Product Committee as part of ongoing data validation exercises. Users are also able to use the DSB’s </w:t>
            </w:r>
            <w:hyperlink r:id="rId37" w:history="1">
              <w:r w:rsidRPr="00B06E12">
                <w:rPr>
                  <w:rStyle w:val="Hyperlink"/>
                  <w:rFonts w:cstheme="minorHAnsi"/>
                </w:rPr>
                <w:t>Change Request Process</w:t>
              </w:r>
            </w:hyperlink>
            <w:r>
              <w:rPr>
                <w:rFonts w:cstheme="minorHAnsi"/>
              </w:rPr>
              <w:t xml:space="preserve"> to submit ISIN challenges, with no ISIN challenges having been submitted thus far.  </w:t>
            </w:r>
          </w:p>
          <w:p w14:paraId="0B401985" w14:textId="3E13E0B0" w:rsidR="0017129F" w:rsidRPr="009F5166"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F433A">
              <w:rPr>
                <w:b/>
                <w:color w:val="000000"/>
              </w:rPr>
              <w:t xml:space="preserve">Question: </w:t>
            </w:r>
            <w:r>
              <w:rPr>
                <w:rFonts w:cstheme="minorHAnsi"/>
              </w:rPr>
              <w:t xml:space="preserve">Do you wish the DSB to prioritize </w:t>
            </w:r>
            <w:proofErr w:type="gramStart"/>
            <w:r>
              <w:rPr>
                <w:rFonts w:cstheme="minorHAnsi"/>
              </w:rPr>
              <w:t>particular aspects</w:t>
            </w:r>
            <w:proofErr w:type="gramEnd"/>
            <w:r>
              <w:rPr>
                <w:rFonts w:cstheme="minorHAnsi"/>
              </w:rPr>
              <w:t xml:space="preserve"> of the review process? If yes, please provide specific examples. </w:t>
            </w:r>
          </w:p>
        </w:tc>
        <w:tc>
          <w:tcPr>
            <w:tcW w:w="4394" w:type="dxa"/>
            <w:vAlign w:val="center"/>
          </w:tcPr>
          <w:p w14:paraId="351FA735"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20C1D6AD" w14:textId="77777777" w:rsidTr="00BC639C">
        <w:trPr>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490D5D51" w14:textId="655E79F0" w:rsidR="0017129F" w:rsidRPr="00A45848" w:rsidRDefault="0017129F" w:rsidP="0017129F">
            <w:pPr>
              <w:pStyle w:val="Heading2"/>
              <w:numPr>
                <w:ilvl w:val="0"/>
                <w:numId w:val="0"/>
              </w:numPr>
              <w:spacing w:before="60" w:after="120" w:line="276" w:lineRule="auto"/>
              <w:outlineLvl w:val="1"/>
              <w:rPr>
                <w:b w:val="0"/>
              </w:rPr>
            </w:pPr>
            <w:bookmarkStart w:id="19" w:name="_Toc7171262"/>
            <w:bookmarkStart w:id="20" w:name="_Toc8250284"/>
            <w:r w:rsidRPr="00DF200D">
              <w:rPr>
                <w:rStyle w:val="IntenseReference"/>
                <w:b/>
                <w:color w:val="FFFFFF" w:themeColor="background1"/>
              </w:rPr>
              <w:lastRenderedPageBreak/>
              <w:t>Section 3: SERVICE LEVELS</w:t>
            </w:r>
            <w:bookmarkEnd w:id="19"/>
            <w:bookmarkEnd w:id="20"/>
            <w:r w:rsidRPr="00DF200D">
              <w:rPr>
                <w:rStyle w:val="IntenseReference"/>
                <w:b/>
                <w:color w:val="FFFFFF" w:themeColor="background1"/>
              </w:rPr>
              <w:t xml:space="preserve"> </w:t>
            </w:r>
          </w:p>
        </w:tc>
      </w:tr>
      <w:tr w:rsidR="0017129F" w:rsidRPr="00551628" w14:paraId="740DAE77" w14:textId="77777777" w:rsidTr="00BC639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4755740D" w14:textId="4A0CB3F4" w:rsidR="0017129F" w:rsidRPr="00551628" w:rsidRDefault="0017129F" w:rsidP="0017129F">
            <w:pPr>
              <w:spacing w:after="120" w:line="276" w:lineRule="auto"/>
            </w:pPr>
            <w:r>
              <w:t>3.1</w:t>
            </w:r>
          </w:p>
        </w:tc>
        <w:tc>
          <w:tcPr>
            <w:tcW w:w="4840" w:type="dxa"/>
            <w:gridSpan w:val="4"/>
            <w:vAlign w:val="center"/>
          </w:tcPr>
          <w:p w14:paraId="492FD755" w14:textId="461DC936"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 </w:t>
            </w:r>
            <w:r>
              <w:rPr>
                <w:color w:val="000000"/>
              </w:rPr>
              <w:t>GUI related amendments:</w:t>
            </w:r>
          </w:p>
        </w:tc>
        <w:tc>
          <w:tcPr>
            <w:tcW w:w="4394" w:type="dxa"/>
            <w:vAlign w:val="center"/>
          </w:tcPr>
          <w:p w14:paraId="4B64C606"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358E27A5" w14:textId="77777777" w:rsidTr="00BC639C">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478F4293" w14:textId="77777777" w:rsidR="0017129F" w:rsidRDefault="0017129F" w:rsidP="0017129F">
            <w:pPr>
              <w:spacing w:after="120" w:line="276" w:lineRule="auto"/>
            </w:pPr>
          </w:p>
        </w:tc>
        <w:tc>
          <w:tcPr>
            <w:tcW w:w="552" w:type="dxa"/>
            <w:gridSpan w:val="2"/>
            <w:vAlign w:val="center"/>
          </w:tcPr>
          <w:p w14:paraId="5DF9D6BF" w14:textId="24D9C705"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a)</w:t>
            </w:r>
          </w:p>
        </w:tc>
        <w:tc>
          <w:tcPr>
            <w:tcW w:w="4288" w:type="dxa"/>
            <w:gridSpan w:val="2"/>
            <w:vAlign w:val="center"/>
          </w:tcPr>
          <w:p w14:paraId="54B032F4" w14:textId="5D1B359F"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Does your firm primarily rely on use of the DSB GUI? </w:t>
            </w:r>
          </w:p>
        </w:tc>
        <w:tc>
          <w:tcPr>
            <w:tcW w:w="4394" w:type="dxa"/>
            <w:vAlign w:val="center"/>
          </w:tcPr>
          <w:p w14:paraId="069FA51E"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5D47EEE6" w14:textId="77777777" w:rsidTr="00BC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39A7595F" w14:textId="77777777" w:rsidR="0017129F" w:rsidRDefault="0017129F" w:rsidP="0017129F">
            <w:pPr>
              <w:spacing w:after="120" w:line="276" w:lineRule="auto"/>
            </w:pPr>
          </w:p>
        </w:tc>
        <w:tc>
          <w:tcPr>
            <w:tcW w:w="552" w:type="dxa"/>
            <w:gridSpan w:val="2"/>
            <w:vAlign w:val="center"/>
          </w:tcPr>
          <w:p w14:paraId="641C6F3F" w14:textId="296DC466"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b) </w:t>
            </w:r>
          </w:p>
        </w:tc>
        <w:tc>
          <w:tcPr>
            <w:tcW w:w="4288" w:type="dxa"/>
            <w:gridSpan w:val="2"/>
            <w:vAlign w:val="center"/>
          </w:tcPr>
          <w:p w14:paraId="31E4A6A5" w14:textId="6053E78C"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If you answered “yes” to 3.1(a) above - i</w:t>
            </w:r>
            <w:r w:rsidRPr="006B4E73">
              <w:rPr>
                <w:color w:val="000000"/>
              </w:rPr>
              <w:t>s the creation of one</w:t>
            </w:r>
            <w:r>
              <w:rPr>
                <w:color w:val="000000"/>
              </w:rPr>
              <w:t xml:space="preserve"> OTC</w:t>
            </w:r>
            <w:r w:rsidRPr="006B4E73">
              <w:rPr>
                <w:color w:val="000000"/>
              </w:rPr>
              <w:t xml:space="preserve"> ISIN at a time satisfactory</w:t>
            </w:r>
          </w:p>
        </w:tc>
        <w:tc>
          <w:tcPr>
            <w:tcW w:w="4394" w:type="dxa"/>
            <w:vAlign w:val="center"/>
          </w:tcPr>
          <w:p w14:paraId="2BD9CADB"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79020DF1" w14:textId="77777777" w:rsidTr="00156B59">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6B278B45" w14:textId="77777777" w:rsidR="0017129F" w:rsidRDefault="0017129F" w:rsidP="0017129F">
            <w:pPr>
              <w:spacing w:after="120" w:line="276" w:lineRule="auto"/>
            </w:pPr>
          </w:p>
        </w:tc>
        <w:tc>
          <w:tcPr>
            <w:tcW w:w="552" w:type="dxa"/>
            <w:gridSpan w:val="2"/>
            <w:vAlign w:val="center"/>
          </w:tcPr>
          <w:p w14:paraId="6716C4E2" w14:textId="6948DB0F"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c) </w:t>
            </w:r>
          </w:p>
        </w:tc>
        <w:tc>
          <w:tcPr>
            <w:tcW w:w="4288" w:type="dxa"/>
            <w:gridSpan w:val="2"/>
            <w:vAlign w:val="center"/>
          </w:tcPr>
          <w:p w14:paraId="6F8C04D0" w14:textId="3C70B0E1"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If it is not satisfactory, please could you indicate a (cost effective) acceptable alternative. </w:t>
            </w:r>
          </w:p>
        </w:tc>
        <w:tc>
          <w:tcPr>
            <w:tcW w:w="4394" w:type="dxa"/>
            <w:vAlign w:val="center"/>
          </w:tcPr>
          <w:p w14:paraId="69A1A349"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189D4D13" w14:textId="77777777" w:rsidTr="00156B59">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684" w:type="dxa"/>
            <w:vMerge w:val="restart"/>
            <w:vAlign w:val="center"/>
          </w:tcPr>
          <w:p w14:paraId="4BEB06B6" w14:textId="63334A40" w:rsidR="0017129F" w:rsidRPr="00551628" w:rsidRDefault="0017129F" w:rsidP="0017129F">
            <w:pPr>
              <w:spacing w:after="120" w:line="276" w:lineRule="auto"/>
            </w:pPr>
            <w:r>
              <w:t>3.2</w:t>
            </w:r>
          </w:p>
        </w:tc>
        <w:tc>
          <w:tcPr>
            <w:tcW w:w="4840" w:type="dxa"/>
            <w:gridSpan w:val="4"/>
            <w:vAlign w:val="center"/>
          </w:tcPr>
          <w:p w14:paraId="084E6AEB" w14:textId="0148F216" w:rsidR="0017129F" w:rsidRPr="00010E81"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10E81">
              <w:rPr>
                <w:rFonts w:eastAsia="Times New Roman" w:cstheme="minorHAnsi"/>
                <w:bCs/>
              </w:rPr>
              <w:t xml:space="preserve">The DSB currently provides product documentation (attributes, enumerated values, normalisation rules, indices etc.) </w:t>
            </w:r>
            <w:r>
              <w:rPr>
                <w:rFonts w:eastAsia="Times New Roman" w:cstheme="minorHAnsi"/>
                <w:bCs/>
              </w:rPr>
              <w:t>across s</w:t>
            </w:r>
            <w:r w:rsidRPr="00010E81">
              <w:rPr>
                <w:rFonts w:eastAsia="Times New Roman" w:cstheme="minorHAnsi"/>
                <w:bCs/>
              </w:rPr>
              <w:t xml:space="preserve">everal </w:t>
            </w:r>
            <w:r>
              <w:rPr>
                <w:rFonts w:eastAsia="Times New Roman" w:cstheme="minorHAnsi"/>
                <w:bCs/>
              </w:rPr>
              <w:t>PDF</w:t>
            </w:r>
            <w:r w:rsidRPr="00010E81">
              <w:rPr>
                <w:rFonts w:eastAsia="Times New Roman" w:cstheme="minorHAnsi"/>
                <w:bCs/>
              </w:rPr>
              <w:t xml:space="preserve"> documents that are available to download through the DSB website. </w:t>
            </w:r>
          </w:p>
        </w:tc>
        <w:tc>
          <w:tcPr>
            <w:tcW w:w="4394" w:type="dxa"/>
            <w:vAlign w:val="center"/>
          </w:tcPr>
          <w:p w14:paraId="43686FFE"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13100A5C" w14:textId="77777777" w:rsidTr="00156B59">
        <w:trPr>
          <w:trHeight w:val="1115"/>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0E432983" w14:textId="77777777" w:rsidR="0017129F" w:rsidRDefault="0017129F" w:rsidP="0017129F">
            <w:pPr>
              <w:spacing w:after="120" w:line="276" w:lineRule="auto"/>
            </w:pPr>
          </w:p>
        </w:tc>
        <w:tc>
          <w:tcPr>
            <w:tcW w:w="552" w:type="dxa"/>
            <w:gridSpan w:val="2"/>
            <w:vAlign w:val="center"/>
          </w:tcPr>
          <w:p w14:paraId="419C2FE0" w14:textId="38B56BA8"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a) </w:t>
            </w:r>
          </w:p>
        </w:tc>
        <w:tc>
          <w:tcPr>
            <w:tcW w:w="4288" w:type="dxa"/>
            <w:gridSpan w:val="2"/>
            <w:vAlign w:val="center"/>
          </w:tcPr>
          <w:p w14:paraId="1FE58170" w14:textId="1CFB5537" w:rsidR="0017129F" w:rsidRPr="00010E81"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10E81">
              <w:rPr>
                <w:rFonts w:cstheme="minorHAnsi"/>
              </w:rPr>
              <w:t>Do you believe that making this information available through a searchable on-line utility would be of benefit to the user experience?</w:t>
            </w:r>
          </w:p>
        </w:tc>
        <w:tc>
          <w:tcPr>
            <w:tcW w:w="4394" w:type="dxa"/>
            <w:vAlign w:val="center"/>
          </w:tcPr>
          <w:p w14:paraId="42A37017"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11961EF2" w14:textId="77777777" w:rsidTr="00BC639C">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684" w:type="dxa"/>
            <w:vMerge/>
            <w:vAlign w:val="center"/>
          </w:tcPr>
          <w:p w14:paraId="4FD88C9C" w14:textId="77777777" w:rsidR="0017129F" w:rsidRDefault="0017129F" w:rsidP="0017129F">
            <w:pPr>
              <w:spacing w:after="120" w:line="276" w:lineRule="auto"/>
            </w:pPr>
          </w:p>
        </w:tc>
        <w:tc>
          <w:tcPr>
            <w:tcW w:w="552" w:type="dxa"/>
            <w:gridSpan w:val="2"/>
            <w:vAlign w:val="center"/>
          </w:tcPr>
          <w:p w14:paraId="41972652" w14:textId="6C530796"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r>
              <w:t>b)</w:t>
            </w:r>
          </w:p>
        </w:tc>
        <w:tc>
          <w:tcPr>
            <w:tcW w:w="4288" w:type="dxa"/>
            <w:gridSpan w:val="2"/>
            <w:vAlign w:val="center"/>
          </w:tcPr>
          <w:p w14:paraId="5EA5F5F9" w14:textId="26100F69" w:rsidR="0017129F" w:rsidRPr="00010E81"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10E81">
              <w:rPr>
                <w:rFonts w:cstheme="minorHAnsi"/>
              </w:rPr>
              <w:t>Can you provide any example online utilities that might provide a model for a DSB offering?</w:t>
            </w:r>
          </w:p>
        </w:tc>
        <w:tc>
          <w:tcPr>
            <w:tcW w:w="4394" w:type="dxa"/>
            <w:vAlign w:val="center"/>
          </w:tcPr>
          <w:p w14:paraId="1FDA37A9"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17129F" w:rsidRPr="00551628" w14:paraId="439A7FED" w14:textId="77777777" w:rsidTr="00D523A5">
        <w:trPr>
          <w:trHeight w:val="1757"/>
        </w:trPr>
        <w:tc>
          <w:tcPr>
            <w:cnfStyle w:val="001000000000" w:firstRow="0" w:lastRow="0" w:firstColumn="1" w:lastColumn="0" w:oddVBand="0" w:evenVBand="0" w:oddHBand="0" w:evenHBand="0" w:firstRowFirstColumn="0" w:firstRowLastColumn="0" w:lastRowFirstColumn="0" w:lastRowLastColumn="0"/>
            <w:tcW w:w="684" w:type="dxa"/>
            <w:vAlign w:val="center"/>
          </w:tcPr>
          <w:p w14:paraId="65A297A9" w14:textId="40400FDF" w:rsidR="0017129F" w:rsidRPr="00551628" w:rsidRDefault="0017129F" w:rsidP="0017129F">
            <w:pPr>
              <w:spacing w:after="120" w:line="276" w:lineRule="auto"/>
            </w:pPr>
            <w:r>
              <w:t>3.3</w:t>
            </w:r>
          </w:p>
        </w:tc>
        <w:tc>
          <w:tcPr>
            <w:tcW w:w="4840" w:type="dxa"/>
            <w:gridSpan w:val="4"/>
            <w:vAlign w:val="center"/>
          </w:tcPr>
          <w:p w14:paraId="3ACCF56F" w14:textId="77777777" w:rsidR="0017129F"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rsidRPr="00B3682C">
              <w:rPr>
                <w:u w:val="single"/>
              </w:rPr>
              <w:t>Phone Support</w:t>
            </w:r>
            <w:r>
              <w:t xml:space="preserve">: This query was raised last year and has been revisited </w:t>
            </w:r>
            <w:proofErr w:type="gramStart"/>
            <w:r>
              <w:t>in light of</w:t>
            </w:r>
            <w:proofErr w:type="gramEnd"/>
            <w:r>
              <w:t xml:space="preserve"> a number of user requests. </w:t>
            </w:r>
          </w:p>
          <w:p w14:paraId="2263D05C" w14:textId="483F09E5"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r w:rsidRPr="008F433A">
              <w:rPr>
                <w:b/>
                <w:color w:val="000000"/>
              </w:rPr>
              <w:t xml:space="preserve">Question: </w:t>
            </w:r>
            <w:r>
              <w:t xml:space="preserve">Would your firm benefit from having telephone based technical support from the DSB? </w:t>
            </w:r>
          </w:p>
        </w:tc>
        <w:tc>
          <w:tcPr>
            <w:tcW w:w="4394" w:type="dxa"/>
            <w:vAlign w:val="center"/>
          </w:tcPr>
          <w:p w14:paraId="6A3D0FF8" w14:textId="77777777" w:rsidR="0017129F" w:rsidRPr="00551628" w:rsidRDefault="0017129F" w:rsidP="0017129F">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17129F" w:rsidRPr="00551628" w14:paraId="017FA551" w14:textId="77777777" w:rsidTr="00004DB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122D35A6" w14:textId="2AE350C3" w:rsidR="0017129F" w:rsidRDefault="0017129F" w:rsidP="0017129F">
            <w:pPr>
              <w:spacing w:after="120" w:line="276" w:lineRule="auto"/>
            </w:pPr>
            <w:r>
              <w:t>3.4</w:t>
            </w:r>
          </w:p>
        </w:tc>
        <w:tc>
          <w:tcPr>
            <w:tcW w:w="4840" w:type="dxa"/>
            <w:gridSpan w:val="4"/>
            <w:vAlign w:val="center"/>
          </w:tcPr>
          <w:p w14:paraId="7445C521" w14:textId="77777777" w:rsidR="0017129F"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5E6498">
              <w:rPr>
                <w:rFonts w:eastAsia="Times New Roman" w:cstheme="minorHAnsi"/>
                <w:bCs/>
                <w:u w:val="single"/>
              </w:rPr>
              <w:t>Acceptable Use Monitoring</w:t>
            </w:r>
            <w:r>
              <w:rPr>
                <w:rFonts w:eastAsia="Times New Roman" w:cstheme="minorHAnsi"/>
                <w:bCs/>
                <w:u w:val="single"/>
              </w:rPr>
              <w:t xml:space="preserve"> and Notification</w:t>
            </w:r>
            <w:r w:rsidRPr="005E6498">
              <w:rPr>
                <w:rFonts w:eastAsia="Times New Roman" w:cstheme="minorHAnsi"/>
                <w:bCs/>
                <w:u w:val="single"/>
              </w:rPr>
              <w:t>:</w:t>
            </w:r>
            <w:r>
              <w:rPr>
                <w:rFonts w:eastAsia="Times New Roman" w:cstheme="minorHAnsi"/>
                <w:bCs/>
              </w:rPr>
              <w:t xml:space="preserve"> The current monitoring and notification process related to the DSB’s Acceptable Use Policy (AUP) thresholds is reactive, notifying users once they have breached the AUP. The DSB has received feedback from several users that proactive monitoring and notification would be preferred. </w:t>
            </w:r>
          </w:p>
          <w:p w14:paraId="6B6FD7ED" w14:textId="67C1A995" w:rsidR="0017129F" w:rsidRPr="00C01AF5"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F433A">
              <w:rPr>
                <w:b/>
                <w:color w:val="000000"/>
              </w:rPr>
              <w:t xml:space="preserve">Question: </w:t>
            </w:r>
            <w:r w:rsidRPr="00C01AF5">
              <w:rPr>
                <w:rFonts w:eastAsia="Times New Roman" w:cstheme="minorHAnsi"/>
                <w:bCs/>
              </w:rPr>
              <w:t xml:space="preserve">Should the DSB’s AUP monitoring process be extended to warn users when the </w:t>
            </w:r>
            <w:r w:rsidRPr="00C01AF5">
              <w:rPr>
                <w:rFonts w:eastAsia="Times New Roman" w:cstheme="minorHAnsi"/>
                <w:bCs/>
              </w:rPr>
              <w:lastRenderedPageBreak/>
              <w:t>exceed certain percentage levels of their AUP allocation?</w:t>
            </w:r>
          </w:p>
        </w:tc>
        <w:tc>
          <w:tcPr>
            <w:tcW w:w="4394" w:type="dxa"/>
            <w:vAlign w:val="center"/>
          </w:tcPr>
          <w:p w14:paraId="3CBB88E6" w14:textId="77777777" w:rsidR="0017129F" w:rsidRPr="00551628" w:rsidRDefault="0017129F" w:rsidP="0017129F">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004DB5" w:rsidRPr="00551628" w14:paraId="05DC917D" w14:textId="77777777" w:rsidTr="00004DB5">
        <w:trPr>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5AA84E9C" w14:textId="3F2A0CA0" w:rsidR="00004DB5" w:rsidRPr="00551628" w:rsidRDefault="00004DB5" w:rsidP="00004DB5">
            <w:pPr>
              <w:pStyle w:val="Heading2"/>
              <w:numPr>
                <w:ilvl w:val="0"/>
                <w:numId w:val="0"/>
              </w:numPr>
              <w:spacing w:before="60" w:after="120" w:line="276" w:lineRule="auto"/>
              <w:outlineLvl w:val="1"/>
            </w:pPr>
            <w:bookmarkStart w:id="21" w:name="_Toc8250285"/>
            <w:r w:rsidRPr="00DF200D">
              <w:rPr>
                <w:rStyle w:val="IntenseReference"/>
                <w:b/>
                <w:color w:val="FFFFFF" w:themeColor="background1"/>
              </w:rPr>
              <w:t>Section 4: SERVICE AVAILABILITY</w:t>
            </w:r>
            <w:bookmarkEnd w:id="21"/>
          </w:p>
        </w:tc>
      </w:tr>
      <w:tr w:rsidR="00004DB5" w:rsidRPr="00551628" w14:paraId="7F2DEBE3" w14:textId="77777777" w:rsidTr="00004DB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179BAE30" w14:textId="7F3BC91B" w:rsidR="00004DB5" w:rsidRDefault="00004DB5" w:rsidP="00004DB5">
            <w:pPr>
              <w:spacing w:after="120" w:line="276" w:lineRule="auto"/>
            </w:pPr>
            <w:r>
              <w:t>4.1</w:t>
            </w:r>
          </w:p>
        </w:tc>
        <w:tc>
          <w:tcPr>
            <w:tcW w:w="4840" w:type="dxa"/>
            <w:gridSpan w:val="4"/>
            <w:vAlign w:val="center"/>
          </w:tcPr>
          <w:p w14:paraId="339F0AA5"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pPr>
            <w:r>
              <w:rPr>
                <w:rFonts w:cstheme="minorHAnsi"/>
              </w:rPr>
              <w:t xml:space="preserve">Following feedback from the DSB’s </w:t>
            </w:r>
            <w:hyperlink r:id="rId38" w:anchor="Consultation2" w:history="1">
              <w:r w:rsidRPr="0061214D">
                <w:rPr>
                  <w:rStyle w:val="Hyperlink"/>
                  <w:rFonts w:cstheme="minorHAnsi"/>
                </w:rPr>
                <w:t>second consultation in 2018</w:t>
              </w:r>
            </w:hyperlink>
            <w:r>
              <w:rPr>
                <w:rStyle w:val="FootnoteReference"/>
                <w:rFonts w:cstheme="minorHAnsi"/>
              </w:rPr>
              <w:footnoteReference w:id="4"/>
            </w:r>
            <w:r>
              <w:rPr>
                <w:rFonts w:cstheme="minorHAnsi"/>
              </w:rPr>
              <w:t xml:space="preserve">, the DSB increased the availability of its service from 24x6 to 24x6.5 </w:t>
            </w:r>
            <w:r>
              <w:t>by reducing weekly downtime to between Saturday 20:00 UTC and Sunday 08:00 UTC.</w:t>
            </w:r>
          </w:p>
          <w:p w14:paraId="77681CE7" w14:textId="77777777" w:rsidR="00004DB5" w:rsidRDefault="00004DB5" w:rsidP="00004DB5">
            <w:pPr>
              <w:spacing w:before="12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DSB proposes to preserve the 24x6.5 service hours but to change the period of the weekly downtime from between:</w:t>
            </w:r>
          </w:p>
          <w:p w14:paraId="7029B643"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pPr>
            <w:r>
              <w:t xml:space="preserve">Saturday 20:00 UTC and Sunday 08:00 UTC </w:t>
            </w:r>
          </w:p>
          <w:p w14:paraId="0B421B5C"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pPr>
            <w:r>
              <w:t xml:space="preserve">to </w:t>
            </w:r>
          </w:p>
          <w:p w14:paraId="02204502" w14:textId="77777777" w:rsidR="00004DB5" w:rsidRDefault="00004DB5" w:rsidP="00004DB5">
            <w:pPr>
              <w:spacing w:before="12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b/>
              </w:rPr>
              <w:t>Sunday</w:t>
            </w:r>
            <w:r>
              <w:rPr>
                <w:b/>
              </w:rPr>
              <w:tab/>
            </w:r>
            <w:r w:rsidRPr="0061214D">
              <w:rPr>
                <w:b/>
              </w:rPr>
              <w:t xml:space="preserve">00:30AM </w:t>
            </w:r>
            <w:r>
              <w:rPr>
                <w:b/>
              </w:rPr>
              <w:t>U</w:t>
            </w:r>
            <w:r w:rsidRPr="0061214D">
              <w:rPr>
                <w:b/>
              </w:rPr>
              <w:t>TC</w:t>
            </w:r>
            <w:r>
              <w:rPr>
                <w:b/>
              </w:rPr>
              <w:t xml:space="preserve"> and Sunday </w:t>
            </w:r>
            <w:r w:rsidRPr="0061214D">
              <w:rPr>
                <w:b/>
              </w:rPr>
              <w:t xml:space="preserve">12:30PM </w:t>
            </w:r>
          </w:p>
          <w:p w14:paraId="2B041420"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rationale for the proposal is to provide a zero-cost solution to a technical error scenario experienced by some DSB Power Users.</w:t>
            </w:r>
          </w:p>
          <w:p w14:paraId="5684E485"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details of the error scenario and the rationale for the change can be found on slides 11 and 12 of the DSB’s Technology Advisory Committee (TAC) </w:t>
            </w:r>
            <w:hyperlink r:id="rId39" w:history="1">
              <w:r w:rsidRPr="003B7B04">
                <w:rPr>
                  <w:rStyle w:val="Hyperlink"/>
                  <w:rFonts w:cstheme="minorHAnsi"/>
                </w:rPr>
                <w:t>March 2019 presentation</w:t>
              </w:r>
            </w:hyperlink>
            <w:r>
              <w:rPr>
                <w:rStyle w:val="FootnoteReference"/>
                <w:rFonts w:cstheme="minorHAnsi"/>
                <w:color w:val="0563C1" w:themeColor="hyperlink"/>
                <w:u w:val="single"/>
              </w:rPr>
              <w:footnoteReference w:id="5"/>
            </w:r>
            <w:r>
              <w:rPr>
                <w:rFonts w:cstheme="minorHAnsi"/>
              </w:rPr>
              <w:t xml:space="preserve">. The TAC has agreed in principle to the change, subject to broader industry agreement that the change will not cause undue difficulties for other users. Further details on the TAC deliberation can be found on page 6 of the </w:t>
            </w:r>
            <w:hyperlink r:id="rId40" w:history="1">
              <w:r w:rsidRPr="003B7B04">
                <w:rPr>
                  <w:rStyle w:val="Hyperlink"/>
                  <w:rFonts w:cstheme="minorHAnsi"/>
                </w:rPr>
                <w:t>TAC minutes</w:t>
              </w:r>
            </w:hyperlink>
            <w:r>
              <w:rPr>
                <w:rStyle w:val="FootnoteReference"/>
                <w:rFonts w:cstheme="minorHAnsi"/>
                <w:color w:val="0563C1" w:themeColor="hyperlink"/>
                <w:u w:val="single"/>
              </w:rPr>
              <w:footnoteReference w:id="6"/>
            </w:r>
          </w:p>
          <w:p w14:paraId="4A762BD9" w14:textId="433FAB71" w:rsidR="00004DB5" w:rsidRPr="005E649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u w:val="single"/>
              </w:rPr>
            </w:pPr>
            <w:r w:rsidRPr="003B7B04">
              <w:rPr>
                <w:rFonts w:cstheme="minorHAnsi"/>
                <w:b/>
              </w:rPr>
              <w:t>Question</w:t>
            </w:r>
            <w:r>
              <w:rPr>
                <w:rFonts w:cstheme="minorHAnsi"/>
              </w:rPr>
              <w:t xml:space="preserve">: </w:t>
            </w:r>
            <w:r w:rsidRPr="00CC2266">
              <w:rPr>
                <w:rFonts w:cstheme="minorHAnsi"/>
              </w:rPr>
              <w:t xml:space="preserve">Should the DSB’s </w:t>
            </w:r>
            <w:r>
              <w:rPr>
                <w:rFonts w:cstheme="minorHAnsi"/>
              </w:rPr>
              <w:t xml:space="preserve">downtime hours be change </w:t>
            </w:r>
            <w:r>
              <w:t xml:space="preserve">to between </w:t>
            </w:r>
            <w:r w:rsidRPr="0061214D">
              <w:rPr>
                <w:b/>
              </w:rPr>
              <w:t>00:30AM Sunday UTC</w:t>
            </w:r>
            <w:r>
              <w:rPr>
                <w:b/>
              </w:rPr>
              <w:t xml:space="preserve"> and </w:t>
            </w:r>
            <w:r w:rsidRPr="0061214D">
              <w:rPr>
                <w:b/>
              </w:rPr>
              <w:t>12:30PM Sunday</w:t>
            </w:r>
            <w:r>
              <w:rPr>
                <w:b/>
              </w:rPr>
              <w:t xml:space="preserve"> UTC</w:t>
            </w:r>
            <w:r w:rsidRPr="003B7B04">
              <w:rPr>
                <w:b/>
              </w:rPr>
              <w:t>?</w:t>
            </w:r>
            <w:r w:rsidRPr="00CC2266" w:rsidDel="003B7B04">
              <w:rPr>
                <w:rFonts w:cstheme="minorHAnsi"/>
              </w:rPr>
              <w:t xml:space="preserve"> </w:t>
            </w:r>
          </w:p>
        </w:tc>
        <w:tc>
          <w:tcPr>
            <w:tcW w:w="4394" w:type="dxa"/>
            <w:vAlign w:val="center"/>
          </w:tcPr>
          <w:p w14:paraId="327CF774" w14:textId="77777777"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004DB5" w:rsidRPr="00551628" w14:paraId="4988BD39" w14:textId="77777777" w:rsidTr="00BC639C">
        <w:trPr>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443BE9E5" w14:textId="5744B6F9" w:rsidR="00004DB5" w:rsidRPr="00551628" w:rsidRDefault="00004DB5" w:rsidP="00004DB5">
            <w:pPr>
              <w:pStyle w:val="Heading2"/>
              <w:numPr>
                <w:ilvl w:val="0"/>
                <w:numId w:val="0"/>
              </w:numPr>
              <w:spacing w:before="60" w:after="120" w:line="276" w:lineRule="auto"/>
              <w:outlineLvl w:val="1"/>
              <w:rPr>
                <w:rStyle w:val="IntenseReference"/>
                <w:rFonts w:asciiTheme="minorHAnsi" w:eastAsiaTheme="minorHAnsi" w:hAnsiTheme="minorHAnsi" w:cstheme="minorBidi"/>
                <w:b/>
                <w:bCs/>
                <w:sz w:val="22"/>
                <w:szCs w:val="22"/>
                <w:lang w:val="en-US"/>
              </w:rPr>
            </w:pPr>
            <w:bookmarkStart w:id="22" w:name="_Toc7171264"/>
            <w:bookmarkStart w:id="23" w:name="_Toc8250286"/>
            <w:r w:rsidRPr="00DF200D">
              <w:rPr>
                <w:rStyle w:val="IntenseReference"/>
                <w:b/>
                <w:color w:val="FFFFFF" w:themeColor="background1"/>
              </w:rPr>
              <w:lastRenderedPageBreak/>
              <w:t>Section 5: CYBERSECURITY</w:t>
            </w:r>
            <w:bookmarkEnd w:id="22"/>
            <w:bookmarkEnd w:id="23"/>
            <w:r w:rsidRPr="00DF200D">
              <w:rPr>
                <w:rStyle w:val="IntenseReference"/>
                <w:b/>
                <w:color w:val="FFFFFF" w:themeColor="background1"/>
              </w:rPr>
              <w:t xml:space="preserve"> </w:t>
            </w:r>
          </w:p>
        </w:tc>
      </w:tr>
      <w:tr w:rsidR="00004DB5" w:rsidRPr="00551628" w14:paraId="0C47919B" w14:textId="77777777" w:rsidTr="00BC639C">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684" w:type="dxa"/>
            <w:vAlign w:val="center"/>
          </w:tcPr>
          <w:p w14:paraId="64A94CAA" w14:textId="084769D1" w:rsidR="00004DB5" w:rsidRPr="00534C80" w:rsidRDefault="00004DB5" w:rsidP="00004DB5">
            <w:pPr>
              <w:spacing w:after="120" w:line="276" w:lineRule="auto"/>
              <w:rPr>
                <w:smallCaps/>
              </w:rPr>
            </w:pPr>
            <w:r w:rsidRPr="00534C80">
              <w:rPr>
                <w:smallCaps/>
              </w:rPr>
              <w:t>5.1</w:t>
            </w:r>
          </w:p>
        </w:tc>
        <w:tc>
          <w:tcPr>
            <w:tcW w:w="4840" w:type="dxa"/>
            <w:gridSpan w:val="4"/>
            <w:vAlign w:val="center"/>
          </w:tcPr>
          <w:p w14:paraId="11D6F89F" w14:textId="2169D9A2"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rPr>
            </w:pPr>
            <w:bookmarkStart w:id="24" w:name="_Hlk7611549"/>
            <w:r>
              <w:rPr>
                <w:rStyle w:val="IntenseReference"/>
                <w:b w:val="0"/>
                <w:bCs w:val="0"/>
                <w:smallCaps w:val="0"/>
                <w:color w:val="auto"/>
              </w:rPr>
              <w:t xml:space="preserve">The DSB utilises a traditional </w:t>
            </w:r>
            <w:proofErr w:type="spellStart"/>
            <w:r>
              <w:rPr>
                <w:rStyle w:val="IntenseReference"/>
                <w:b w:val="0"/>
                <w:bCs w:val="0"/>
                <w:smallCaps w:val="0"/>
                <w:color w:val="auto"/>
              </w:rPr>
              <w:t>userid</w:t>
            </w:r>
            <w:proofErr w:type="spellEnd"/>
            <w:r>
              <w:rPr>
                <w:rStyle w:val="IntenseReference"/>
                <w:b w:val="0"/>
                <w:bCs w:val="0"/>
                <w:smallCaps w:val="0"/>
                <w:color w:val="auto"/>
              </w:rPr>
              <w:t xml:space="preserve"> / password mechanism for authentication to the DSB GUI. Whilst such a mechanism is common practice, the latest industry best practice now utilises multi-factor authentication (MFA) to provide an additional layer of security.</w:t>
            </w:r>
          </w:p>
          <w:p w14:paraId="212EE561" w14:textId="02841D6F"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rPr>
            </w:pPr>
            <w:r>
              <w:rPr>
                <w:rStyle w:val="IntenseReference"/>
                <w:b w:val="0"/>
                <w:bCs w:val="0"/>
                <w:smallCaps w:val="0"/>
                <w:color w:val="auto"/>
              </w:rPr>
              <w:t xml:space="preserve">The </w:t>
            </w:r>
            <w:r w:rsidRPr="008922E0">
              <w:rPr>
                <w:rStyle w:val="IntenseReference"/>
                <w:b w:val="0"/>
                <w:bCs w:val="0"/>
                <w:smallCaps w:val="0"/>
                <w:color w:val="auto"/>
              </w:rPr>
              <w:t>Applied Cybersecurity Division</w:t>
            </w:r>
            <w:r>
              <w:rPr>
                <w:rStyle w:val="IntenseReference"/>
                <w:b w:val="0"/>
                <w:bCs w:val="0"/>
                <w:smallCaps w:val="0"/>
                <w:color w:val="auto"/>
              </w:rPr>
              <w:t xml:space="preserve"> of the US National Institute for Standards and Technology (NIST) provides a useful description of </w:t>
            </w:r>
            <w:hyperlink r:id="rId41" w:history="1">
              <w:r w:rsidRPr="00CE714F">
                <w:rPr>
                  <w:rStyle w:val="Hyperlink"/>
                  <w:spacing w:val="5"/>
                </w:rPr>
                <w:t>MFA and how it works</w:t>
              </w:r>
            </w:hyperlink>
            <w:r>
              <w:rPr>
                <w:rStyle w:val="FootnoteReference"/>
                <w:spacing w:val="5"/>
              </w:rPr>
              <w:footnoteReference w:id="7"/>
            </w:r>
            <w:r>
              <w:rPr>
                <w:rStyle w:val="IntenseReference"/>
                <w:b w:val="0"/>
                <w:bCs w:val="0"/>
                <w:smallCaps w:val="0"/>
                <w:color w:val="auto"/>
              </w:rPr>
              <w:t xml:space="preserve">. </w:t>
            </w:r>
          </w:p>
          <w:p w14:paraId="09337BFF" w14:textId="74CED911"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lang w:val="en-US"/>
              </w:rPr>
            </w:pPr>
            <w:r>
              <w:rPr>
                <w:rStyle w:val="IntenseReference"/>
                <w:b w:val="0"/>
                <w:bCs w:val="0"/>
                <w:smallCaps w:val="0"/>
                <w:color w:val="auto"/>
              </w:rPr>
              <w:t xml:space="preserve">The DSB notes that most industry and government guidelines on cyber- authentication recommend the use of MFA and therefore the DSB would like to receive feedback on whether a migration to MFA should be considered in 2020. </w:t>
            </w:r>
          </w:p>
          <w:p w14:paraId="655310C2" w14:textId="66FC8513" w:rsidR="00004DB5" w:rsidRPr="00785DEF"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lang w:val="en-US"/>
              </w:rPr>
            </w:pPr>
            <w:r w:rsidRPr="007B3DC6">
              <w:rPr>
                <w:rStyle w:val="IntenseReference"/>
                <w:bCs w:val="0"/>
                <w:smallCaps w:val="0"/>
                <w:color w:val="auto"/>
              </w:rPr>
              <w:t>Question</w:t>
            </w:r>
            <w:r>
              <w:rPr>
                <w:rStyle w:val="IntenseReference"/>
                <w:b w:val="0"/>
                <w:bCs w:val="0"/>
                <w:smallCaps w:val="0"/>
                <w:color w:val="auto"/>
              </w:rPr>
              <w:t xml:space="preserve">: </w:t>
            </w:r>
            <w:r w:rsidRPr="00785DEF">
              <w:rPr>
                <w:rStyle w:val="IntenseReference"/>
                <w:b w:val="0"/>
                <w:bCs w:val="0"/>
                <w:smallCaps w:val="0"/>
                <w:color w:val="auto"/>
              </w:rPr>
              <w:t>Should</w:t>
            </w:r>
            <w:r w:rsidRPr="00785DEF">
              <w:rPr>
                <w:rStyle w:val="IntenseReference"/>
                <w:b w:val="0"/>
                <w:smallCaps w:val="0"/>
                <w:color w:val="auto"/>
              </w:rPr>
              <w:t xml:space="preserve"> </w:t>
            </w:r>
            <w:r>
              <w:rPr>
                <w:rStyle w:val="IntenseReference"/>
                <w:b w:val="0"/>
                <w:smallCaps w:val="0"/>
                <w:color w:val="auto"/>
              </w:rPr>
              <w:t xml:space="preserve">the DSB GUI support multi-factor authentication to match best practice cyber-authentication guidelines? </w:t>
            </w:r>
            <w:bookmarkEnd w:id="24"/>
          </w:p>
        </w:tc>
        <w:tc>
          <w:tcPr>
            <w:tcW w:w="4394" w:type="dxa"/>
            <w:vAlign w:val="center"/>
          </w:tcPr>
          <w:p w14:paraId="7357D9B3" w14:textId="62976277" w:rsidR="00004DB5" w:rsidRPr="00785DEF" w:rsidRDefault="00004DB5" w:rsidP="00004DB5">
            <w:pPr>
              <w:spacing w:line="276" w:lineRule="auto"/>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lang w:val="en-US"/>
              </w:rPr>
            </w:pPr>
          </w:p>
        </w:tc>
      </w:tr>
      <w:tr w:rsidR="00004DB5" w:rsidRPr="00551628" w14:paraId="75422716" w14:textId="77777777" w:rsidTr="00BC639C">
        <w:trPr>
          <w:trHeight w:val="130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57952697" w14:textId="232C86DA" w:rsidR="00004DB5" w:rsidRPr="00534C80" w:rsidRDefault="00004DB5" w:rsidP="00004DB5">
            <w:pPr>
              <w:spacing w:after="120" w:line="276" w:lineRule="auto"/>
              <w:rPr>
                <w:smallCaps/>
              </w:rPr>
            </w:pPr>
            <w:r w:rsidRPr="00534C80">
              <w:rPr>
                <w:smallCaps/>
              </w:rPr>
              <w:t>5.2</w:t>
            </w:r>
          </w:p>
        </w:tc>
        <w:tc>
          <w:tcPr>
            <w:tcW w:w="4840" w:type="dxa"/>
            <w:gridSpan w:val="4"/>
            <w:vAlign w:val="center"/>
          </w:tcPr>
          <w:p w14:paraId="6732B883" w14:textId="77777777"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rPr>
            </w:pPr>
            <w:bookmarkStart w:id="25" w:name="_Hlk7610492"/>
            <w:r>
              <w:rPr>
                <w:rStyle w:val="IntenseReference"/>
                <w:b w:val="0"/>
                <w:bCs w:val="0"/>
                <w:smallCaps w:val="0"/>
                <w:color w:val="auto"/>
              </w:rPr>
              <w:t>The DSB IT system development and maintenance processes follow a standard Software Development Life Cycle (SDLC), which includes separate phases for design, development, testing and deployment.</w:t>
            </w:r>
          </w:p>
          <w:p w14:paraId="0DDE3AB3" w14:textId="3E6A6161"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Pr>
                <w:rStyle w:val="IntenseReference"/>
                <w:b w:val="0"/>
                <w:bCs w:val="0"/>
                <w:smallCaps w:val="0"/>
                <w:color w:val="auto"/>
              </w:rPr>
              <w:t>Security testing of DSB software occurs via regular third-party penetration testing in its User Acceptance Test environment and is not currently embedded within the full SDLC process.</w:t>
            </w:r>
          </w:p>
          <w:p w14:paraId="217E9343" w14:textId="77777777" w:rsidR="00004DB5" w:rsidRPr="002463A8"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Pr>
                <w:rStyle w:val="IntenseReference"/>
                <w:b w:val="0"/>
                <w:bCs w:val="0"/>
                <w:smallCaps w:val="0"/>
                <w:color w:val="auto"/>
              </w:rPr>
              <w:t xml:space="preserve">The DSB has been asked whether it will implement current best practice to embed security considerations throughout the entire SDLC by following approaches such as </w:t>
            </w:r>
            <w:hyperlink r:id="rId42" w:history="1">
              <w:r w:rsidRPr="002463A8">
                <w:rPr>
                  <w:rStyle w:val="Hyperlink"/>
                  <w:spacing w:val="5"/>
                </w:rPr>
                <w:t>NIST 800-64</w:t>
              </w:r>
            </w:hyperlink>
            <w:r>
              <w:rPr>
                <w:rStyle w:val="FootnoteReference"/>
                <w:spacing w:val="5"/>
              </w:rPr>
              <w:footnoteReference w:id="8"/>
            </w:r>
            <w:r>
              <w:rPr>
                <w:rStyle w:val="IntenseReference"/>
                <w:b w:val="0"/>
                <w:bCs w:val="0"/>
                <w:smallCaps w:val="0"/>
                <w:color w:val="auto"/>
              </w:rPr>
              <w:t xml:space="preserve"> in order to provide</w:t>
            </w:r>
            <w:r w:rsidRPr="002463A8">
              <w:rPr>
                <w:rStyle w:val="IntenseReference"/>
                <w:b w:val="0"/>
                <w:bCs w:val="0"/>
                <w:smallCaps w:val="0"/>
                <w:color w:val="auto"/>
              </w:rPr>
              <w:t>:</w:t>
            </w:r>
          </w:p>
          <w:p w14:paraId="0FE42797" w14:textId="77777777" w:rsidR="00004DB5" w:rsidRPr="002463A8"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sidRPr="002463A8">
              <w:rPr>
                <w:rStyle w:val="IntenseReference"/>
                <w:b w:val="0"/>
                <w:bCs w:val="0"/>
                <w:smallCaps w:val="0"/>
                <w:color w:val="auto"/>
              </w:rPr>
              <w:lastRenderedPageBreak/>
              <w:t>•Early identification and mitigation of security vulnerabilities and misconfigurations;</w:t>
            </w:r>
          </w:p>
          <w:p w14:paraId="3ECF92D0" w14:textId="77777777" w:rsidR="00004DB5" w:rsidRPr="002463A8"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sidRPr="002463A8">
              <w:rPr>
                <w:rStyle w:val="IntenseReference"/>
                <w:b w:val="0"/>
                <w:bCs w:val="0"/>
                <w:smallCaps w:val="0"/>
                <w:color w:val="auto"/>
              </w:rPr>
              <w:t>• Awareness of potential engineering challenges caused by mandatory security controls;</w:t>
            </w:r>
          </w:p>
          <w:p w14:paraId="3C400FED" w14:textId="77777777" w:rsidR="00004DB5" w:rsidRPr="002463A8"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sidRPr="002463A8">
              <w:rPr>
                <w:rStyle w:val="IntenseReference"/>
                <w:b w:val="0"/>
                <w:bCs w:val="0"/>
                <w:smallCaps w:val="0"/>
                <w:color w:val="auto"/>
              </w:rPr>
              <w:t>• Identification of shared security services and reuse of security strategies and tools; and</w:t>
            </w:r>
          </w:p>
          <w:p w14:paraId="00AFD330" w14:textId="77777777" w:rsidR="00004DB5" w:rsidRPr="002463A8"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sidRPr="002463A8">
              <w:rPr>
                <w:rStyle w:val="IntenseReference"/>
                <w:b w:val="0"/>
                <w:bCs w:val="0"/>
                <w:smallCaps w:val="0"/>
                <w:color w:val="auto"/>
              </w:rPr>
              <w:t>• Facilitation of informed executive decision making through comprehensive risk management</w:t>
            </w:r>
          </w:p>
          <w:p w14:paraId="2C713209" w14:textId="122697FD"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lang w:val="en-US"/>
              </w:rPr>
            </w:pPr>
            <w:r w:rsidRPr="002463A8">
              <w:rPr>
                <w:rStyle w:val="IntenseReference"/>
                <w:b w:val="0"/>
                <w:bCs w:val="0"/>
                <w:smallCaps w:val="0"/>
                <w:color w:val="auto"/>
              </w:rPr>
              <w:t>in a timely manner.</w:t>
            </w:r>
          </w:p>
          <w:p w14:paraId="753BB2C0" w14:textId="5E6B0267" w:rsidR="00004DB5" w:rsidRPr="00850A8F"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Cs w:val="0"/>
                <w:color w:val="auto"/>
                <w:lang w:val="en-US"/>
              </w:rPr>
            </w:pPr>
            <w:r w:rsidRPr="002C6ECA">
              <w:rPr>
                <w:rStyle w:val="IntenseReference"/>
                <w:bCs w:val="0"/>
                <w:smallCaps w:val="0"/>
                <w:color w:val="auto"/>
              </w:rPr>
              <w:t>Question</w:t>
            </w:r>
            <w:r>
              <w:rPr>
                <w:rStyle w:val="IntenseReference"/>
                <w:b w:val="0"/>
                <w:bCs w:val="0"/>
                <w:smallCaps w:val="0"/>
                <w:color w:val="auto"/>
              </w:rPr>
              <w:t xml:space="preserve">: Should the DSB’s </w:t>
            </w:r>
            <w:r w:rsidRPr="00CC2266">
              <w:rPr>
                <w:rFonts w:cstheme="minorHAnsi"/>
              </w:rPr>
              <w:t xml:space="preserve">Software Development Life Cycle </w:t>
            </w:r>
            <w:r>
              <w:rPr>
                <w:rFonts w:cstheme="minorHAnsi"/>
              </w:rPr>
              <w:t xml:space="preserve">(SDLC) </w:t>
            </w:r>
            <w:r w:rsidRPr="00CC2266">
              <w:rPr>
                <w:rFonts w:cstheme="minorHAnsi"/>
              </w:rPr>
              <w:t xml:space="preserve">be extended to </w:t>
            </w:r>
            <w:r>
              <w:rPr>
                <w:rFonts w:cstheme="minorHAnsi"/>
              </w:rPr>
              <w:t xml:space="preserve">embed security considerations throughout the </w:t>
            </w:r>
            <w:r w:rsidRPr="00CC2266">
              <w:rPr>
                <w:rFonts w:cstheme="minorHAnsi"/>
              </w:rPr>
              <w:t xml:space="preserve">SDLC? </w:t>
            </w:r>
            <w:bookmarkEnd w:id="25"/>
          </w:p>
        </w:tc>
        <w:tc>
          <w:tcPr>
            <w:tcW w:w="4394" w:type="dxa"/>
            <w:vAlign w:val="center"/>
          </w:tcPr>
          <w:p w14:paraId="30A9983D" w14:textId="736A7EF3" w:rsidR="00004DB5" w:rsidRPr="00785DEF" w:rsidRDefault="00004DB5" w:rsidP="00004DB5">
            <w:pPr>
              <w:spacing w:line="276" w:lineRule="auto"/>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lang w:val="en-US"/>
              </w:rPr>
            </w:pPr>
          </w:p>
        </w:tc>
      </w:tr>
      <w:tr w:rsidR="00004DB5" w:rsidRPr="00551628" w14:paraId="59F2A2B5" w14:textId="77777777" w:rsidTr="00BC639C">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684" w:type="dxa"/>
            <w:vAlign w:val="center"/>
          </w:tcPr>
          <w:p w14:paraId="5AB6E0F9" w14:textId="11D82395" w:rsidR="00004DB5" w:rsidRPr="00534C80" w:rsidRDefault="00004DB5" w:rsidP="00004DB5">
            <w:pPr>
              <w:spacing w:after="120" w:line="276" w:lineRule="auto"/>
              <w:rPr>
                <w:smallCaps/>
              </w:rPr>
            </w:pPr>
            <w:r w:rsidRPr="00534C80">
              <w:rPr>
                <w:smallCaps/>
              </w:rPr>
              <w:t>5.3</w:t>
            </w:r>
          </w:p>
        </w:tc>
        <w:tc>
          <w:tcPr>
            <w:tcW w:w="4840" w:type="dxa"/>
            <w:gridSpan w:val="4"/>
            <w:vAlign w:val="center"/>
          </w:tcPr>
          <w:p w14:paraId="56E51F8C" w14:textId="5A48262A"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rPr>
            </w:pPr>
            <w:bookmarkStart w:id="26" w:name="_Hlk7630868"/>
            <w:r>
              <w:rPr>
                <w:rStyle w:val="IntenseReference"/>
                <w:b w:val="0"/>
                <w:bCs w:val="0"/>
                <w:smallCaps w:val="0"/>
                <w:color w:val="auto"/>
              </w:rPr>
              <w:t xml:space="preserve">The DSB currently follows its own proprietary framework for addressing the risk of information security incidents. </w:t>
            </w:r>
            <w:r w:rsidRPr="0062343E">
              <w:rPr>
                <w:rStyle w:val="IntenseReference"/>
                <w:b w:val="0"/>
                <w:bCs w:val="0"/>
                <w:smallCaps w:val="0"/>
                <w:color w:val="auto"/>
              </w:rPr>
              <w:t>Conformance to the framework is reviewed annually by the DSB management team and this is validated by an annual third-party assurance programme</w:t>
            </w:r>
            <w:bookmarkEnd w:id="26"/>
            <w:r>
              <w:rPr>
                <w:rStyle w:val="IntenseReference"/>
                <w:b w:val="0"/>
                <w:bCs w:val="0"/>
                <w:smallCaps w:val="0"/>
                <w:color w:val="auto"/>
              </w:rPr>
              <w:t>.</w:t>
            </w:r>
          </w:p>
          <w:p w14:paraId="7DFFC7B7" w14:textId="6261204E" w:rsidR="00004DB5" w:rsidRPr="001E1170"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rFonts w:cstheme="minorHAnsi"/>
                <w:b w:val="0"/>
                <w:bCs w:val="0"/>
                <w:smallCaps w:val="0"/>
                <w:color w:val="auto"/>
                <w:spacing w:val="0"/>
              </w:rPr>
            </w:pPr>
            <w:r>
              <w:rPr>
                <w:rStyle w:val="IntenseReference"/>
                <w:b w:val="0"/>
                <w:bCs w:val="0"/>
                <w:smallCaps w:val="0"/>
                <w:color w:val="auto"/>
              </w:rPr>
              <w:t xml:space="preserve">The DSB has been asked whether it will implement an industry standard framework for addressing the risk of information security incidents, such as </w:t>
            </w:r>
            <w:hyperlink r:id="rId43" w:history="1">
              <w:r w:rsidRPr="00154028">
                <w:rPr>
                  <w:rStyle w:val="Hyperlink"/>
                  <w:rFonts w:cstheme="minorHAnsi"/>
                </w:rPr>
                <w:t>ISO/IEC 27001</w:t>
              </w:r>
            </w:hyperlink>
            <w:r>
              <w:rPr>
                <w:rStyle w:val="FootnoteReference"/>
                <w:rFonts w:cstheme="minorHAnsi"/>
                <w:color w:val="0563C1" w:themeColor="hyperlink"/>
                <w:u w:val="single"/>
              </w:rPr>
              <w:footnoteReference w:id="9"/>
            </w:r>
            <w:r w:rsidRPr="00CC2266">
              <w:rPr>
                <w:rFonts w:cstheme="minorHAnsi"/>
              </w:rPr>
              <w:t xml:space="preserve"> (</w:t>
            </w:r>
            <w:r w:rsidRPr="000926F1">
              <w:rPr>
                <w:rFonts w:cstheme="minorHAnsi"/>
                <w:i/>
              </w:rPr>
              <w:t>Information security management systems – Requirements</w:t>
            </w:r>
            <w:r w:rsidRPr="00CC2266">
              <w:rPr>
                <w:rFonts w:cstheme="minorHAnsi"/>
              </w:rPr>
              <w:t>)</w:t>
            </w:r>
            <w:r>
              <w:rPr>
                <w:rFonts w:cstheme="minorHAnsi"/>
              </w:rPr>
              <w:t xml:space="preserve">  and </w:t>
            </w:r>
            <w:hyperlink r:id="rId44" w:anchor="iso:std:iso-iec:27002:ed-2:v1:en" w:history="1">
              <w:r w:rsidRPr="000926F1">
                <w:rPr>
                  <w:rStyle w:val="Hyperlink"/>
                  <w:rFonts w:cstheme="minorHAnsi"/>
                </w:rPr>
                <w:t>ISO/IEC 27002</w:t>
              </w:r>
            </w:hyperlink>
            <w:r>
              <w:rPr>
                <w:rStyle w:val="FootnoteReference"/>
                <w:rFonts w:cstheme="minorHAnsi"/>
              </w:rPr>
              <w:footnoteReference w:id="10"/>
            </w:r>
            <w:r>
              <w:rPr>
                <w:rFonts w:cstheme="minorHAnsi"/>
              </w:rPr>
              <w:t xml:space="preserve"> (</w:t>
            </w:r>
            <w:r w:rsidRPr="000926F1">
              <w:rPr>
                <w:rFonts w:cstheme="minorHAnsi"/>
                <w:i/>
              </w:rPr>
              <w:t>Information technology — Security techniques — Code of practice for information security controls</w:t>
            </w:r>
            <w:r>
              <w:rPr>
                <w:rFonts w:cstheme="minorHAnsi"/>
              </w:rPr>
              <w:t xml:space="preserve">). The purpose of ISO certification would be to allow the DSB to </w:t>
            </w:r>
            <w:r w:rsidRPr="007A2715">
              <w:rPr>
                <w:rFonts w:cstheme="minorHAnsi"/>
              </w:rPr>
              <w:t xml:space="preserve">be formally audited and certified compliant </w:t>
            </w:r>
            <w:r>
              <w:rPr>
                <w:rFonts w:cstheme="minorHAnsi"/>
              </w:rPr>
              <w:t xml:space="preserve">to a widely accepted international standard </w:t>
            </w:r>
            <w:r w:rsidRPr="007A2715">
              <w:rPr>
                <w:rFonts w:cstheme="minorHAnsi"/>
              </w:rPr>
              <w:t xml:space="preserve">that </w:t>
            </w:r>
            <w:r>
              <w:rPr>
                <w:rFonts w:cstheme="minorHAnsi"/>
              </w:rPr>
              <w:t xml:space="preserve">guarantees </w:t>
            </w:r>
            <w:r w:rsidRPr="007A2715">
              <w:rPr>
                <w:rFonts w:cstheme="minorHAnsi"/>
              </w:rPr>
              <w:t xml:space="preserve">management </w:t>
            </w:r>
            <w:r>
              <w:rPr>
                <w:rFonts w:cstheme="minorHAnsi"/>
              </w:rPr>
              <w:t>s</w:t>
            </w:r>
            <w:r w:rsidRPr="007A2715">
              <w:rPr>
                <w:rFonts w:cstheme="minorHAnsi"/>
              </w:rPr>
              <w:t>ystematically examines the organisation's information security risks, taking account of the threats, vulnerabilities, and impacts</w:t>
            </w:r>
            <w:r>
              <w:rPr>
                <w:rFonts w:cstheme="minorHAnsi"/>
              </w:rPr>
              <w:t>.</w:t>
            </w:r>
          </w:p>
          <w:p w14:paraId="4F910898" w14:textId="7C8E3279" w:rsidR="00004DB5" w:rsidRPr="00785DEF"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lang w:val="en-US"/>
              </w:rPr>
            </w:pPr>
            <w:r w:rsidRPr="007A2715">
              <w:rPr>
                <w:rStyle w:val="IntenseReference"/>
                <w:bCs w:val="0"/>
                <w:smallCaps w:val="0"/>
                <w:color w:val="auto"/>
              </w:rPr>
              <w:lastRenderedPageBreak/>
              <w:t>QUESTION</w:t>
            </w:r>
            <w:r>
              <w:rPr>
                <w:rStyle w:val="IntenseReference"/>
                <w:bCs w:val="0"/>
                <w:smallCaps w:val="0"/>
                <w:color w:val="auto"/>
              </w:rPr>
              <w:t xml:space="preserve">: </w:t>
            </w:r>
            <w:r w:rsidRPr="007A2715">
              <w:rPr>
                <w:rStyle w:val="IntenseReference"/>
                <w:b w:val="0"/>
                <w:bCs w:val="0"/>
                <w:smallCaps w:val="0"/>
                <w:color w:val="auto"/>
              </w:rPr>
              <w:t>Should the DSB</w:t>
            </w:r>
            <w:r>
              <w:rPr>
                <w:rStyle w:val="IntenseReference"/>
                <w:b w:val="0"/>
                <w:bCs w:val="0"/>
                <w:smallCaps w:val="0"/>
                <w:color w:val="auto"/>
              </w:rPr>
              <w:t xml:space="preserve"> explore adopting the ISO 2700X standard as its framework for addressing information security risks</w:t>
            </w:r>
            <w:r w:rsidRPr="007A2715">
              <w:rPr>
                <w:rStyle w:val="IntenseReference"/>
                <w:b w:val="0"/>
                <w:bCs w:val="0"/>
                <w:smallCaps w:val="0"/>
                <w:color w:val="auto"/>
              </w:rPr>
              <w:t>?</w:t>
            </w:r>
          </w:p>
        </w:tc>
        <w:tc>
          <w:tcPr>
            <w:tcW w:w="4394" w:type="dxa"/>
            <w:vAlign w:val="center"/>
          </w:tcPr>
          <w:p w14:paraId="05E26969" w14:textId="0FC3844B" w:rsidR="00004DB5" w:rsidRPr="00785DEF" w:rsidRDefault="00004DB5" w:rsidP="00004DB5">
            <w:pPr>
              <w:spacing w:line="276" w:lineRule="auto"/>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lang w:val="en-US"/>
              </w:rPr>
            </w:pPr>
          </w:p>
        </w:tc>
      </w:tr>
      <w:tr w:rsidR="00004DB5" w:rsidRPr="00551628" w14:paraId="065B642A" w14:textId="77777777" w:rsidTr="00BC639C">
        <w:trPr>
          <w:trHeight w:val="1006"/>
        </w:trPr>
        <w:tc>
          <w:tcPr>
            <w:cnfStyle w:val="001000000000" w:firstRow="0" w:lastRow="0" w:firstColumn="1" w:lastColumn="0" w:oddVBand="0" w:evenVBand="0" w:oddHBand="0" w:evenHBand="0" w:firstRowFirstColumn="0" w:firstRowLastColumn="0" w:lastRowFirstColumn="0" w:lastRowLastColumn="0"/>
            <w:tcW w:w="684" w:type="dxa"/>
            <w:vAlign w:val="center"/>
          </w:tcPr>
          <w:p w14:paraId="00CC769E" w14:textId="77172BAF" w:rsidR="00004DB5" w:rsidRPr="00534C80" w:rsidRDefault="00004DB5" w:rsidP="00004DB5">
            <w:pPr>
              <w:spacing w:after="120" w:line="276" w:lineRule="auto"/>
              <w:rPr>
                <w:smallCaps/>
              </w:rPr>
            </w:pPr>
            <w:r w:rsidRPr="00534C80">
              <w:rPr>
                <w:smallCaps/>
              </w:rPr>
              <w:t>5.4</w:t>
            </w:r>
          </w:p>
        </w:tc>
        <w:tc>
          <w:tcPr>
            <w:tcW w:w="4840" w:type="dxa"/>
            <w:gridSpan w:val="4"/>
            <w:vAlign w:val="center"/>
          </w:tcPr>
          <w:p w14:paraId="44786107" w14:textId="6DA17EE7"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b w:val="0"/>
                <w:bCs w:val="0"/>
                <w:smallCaps w:val="0"/>
                <w:color w:val="auto"/>
              </w:rPr>
            </w:pPr>
            <w:bookmarkStart w:id="27" w:name="_Hlk7630912"/>
            <w:r>
              <w:rPr>
                <w:rStyle w:val="IntenseReference"/>
                <w:b w:val="0"/>
                <w:bCs w:val="0"/>
                <w:smallCaps w:val="0"/>
                <w:color w:val="auto"/>
              </w:rPr>
              <w:t xml:space="preserve">The DSB currently follows its own proprietary framework for the protection of Personally Identifiable Information (PII). </w:t>
            </w:r>
            <w:r w:rsidRPr="0062343E">
              <w:rPr>
                <w:rStyle w:val="IntenseReference"/>
                <w:b w:val="0"/>
                <w:bCs w:val="0"/>
                <w:smallCaps w:val="0"/>
                <w:color w:val="auto"/>
              </w:rPr>
              <w:t>Conformance to the framework is reviewed annually by the DSB management team and this is validated by an annual third-party assurance programme</w:t>
            </w:r>
            <w:r>
              <w:rPr>
                <w:rStyle w:val="IntenseReference"/>
                <w:b w:val="0"/>
                <w:bCs w:val="0"/>
                <w:smallCaps w:val="0"/>
                <w:color w:val="auto"/>
              </w:rPr>
              <w:t>.</w:t>
            </w:r>
            <w:bookmarkEnd w:id="27"/>
          </w:p>
          <w:p w14:paraId="592F26C1" w14:textId="77777777"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Style w:val="IntenseReference"/>
                <w:b w:val="0"/>
                <w:bCs w:val="0"/>
                <w:smallCaps w:val="0"/>
                <w:color w:val="auto"/>
              </w:rPr>
              <w:t>The DSB has been asked whether it will implement an industry standard framework for the protection of PII, such as</w:t>
            </w:r>
            <w:r w:rsidRPr="00CC2266">
              <w:rPr>
                <w:rFonts w:cstheme="minorHAnsi"/>
              </w:rPr>
              <w:t xml:space="preserve"> </w:t>
            </w:r>
            <w:hyperlink r:id="rId45" w:history="1">
              <w:r w:rsidRPr="007A5DC7">
                <w:rPr>
                  <w:rStyle w:val="Hyperlink"/>
                  <w:rFonts w:cstheme="minorHAnsi"/>
                </w:rPr>
                <w:t>ISO/IEC 27018</w:t>
              </w:r>
            </w:hyperlink>
            <w:r>
              <w:rPr>
                <w:rStyle w:val="FootnoteReference"/>
                <w:rFonts w:cstheme="minorHAnsi"/>
                <w:color w:val="0563C1" w:themeColor="hyperlink"/>
                <w:u w:val="single"/>
              </w:rPr>
              <w:footnoteReference w:id="11"/>
            </w:r>
            <w:r w:rsidRPr="00CC2266">
              <w:rPr>
                <w:rFonts w:cstheme="minorHAnsi"/>
              </w:rPr>
              <w:t xml:space="preserve"> (</w:t>
            </w:r>
            <w:r w:rsidRPr="00E426CA">
              <w:rPr>
                <w:rFonts w:cstheme="minorHAnsi"/>
                <w:i/>
              </w:rPr>
              <w:t>Code of practice for protection of PII in public clouds acting as PII processors</w:t>
            </w:r>
            <w:r w:rsidRPr="00CC2266">
              <w:rPr>
                <w:rFonts w:cstheme="minorHAnsi"/>
              </w:rPr>
              <w:t>)</w:t>
            </w:r>
            <w:r>
              <w:rPr>
                <w:rFonts w:cstheme="minorHAnsi"/>
              </w:rPr>
              <w:t>.</w:t>
            </w:r>
          </w:p>
          <w:p w14:paraId="00EEA018" w14:textId="77777777" w:rsidR="00004DB5"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purpose of ISO certification would be to allow the DSB to </w:t>
            </w:r>
            <w:r w:rsidRPr="007A2715">
              <w:rPr>
                <w:rFonts w:cstheme="minorHAnsi"/>
              </w:rPr>
              <w:t xml:space="preserve">be formally audited and certified compliant </w:t>
            </w:r>
            <w:r>
              <w:rPr>
                <w:rFonts w:cstheme="minorHAnsi"/>
              </w:rPr>
              <w:t xml:space="preserve">to a widely accepted international standard </w:t>
            </w:r>
            <w:r w:rsidRPr="007A2715">
              <w:rPr>
                <w:rFonts w:cstheme="minorHAnsi"/>
              </w:rPr>
              <w:t xml:space="preserve">that </w:t>
            </w:r>
            <w:r>
              <w:rPr>
                <w:rFonts w:cstheme="minorHAnsi"/>
              </w:rPr>
              <w:t xml:space="preserve">guarantees </w:t>
            </w:r>
            <w:r w:rsidRPr="007A2715">
              <w:rPr>
                <w:rFonts w:cstheme="minorHAnsi"/>
              </w:rPr>
              <w:t xml:space="preserve">management </w:t>
            </w:r>
            <w:r>
              <w:rPr>
                <w:rFonts w:cstheme="minorHAnsi"/>
              </w:rPr>
              <w:t>is s</w:t>
            </w:r>
            <w:r w:rsidRPr="007A2715">
              <w:rPr>
                <w:rFonts w:cstheme="minorHAnsi"/>
              </w:rPr>
              <w:t xml:space="preserve">ystematically </w:t>
            </w:r>
            <w:r>
              <w:rPr>
                <w:rFonts w:cstheme="minorHAnsi"/>
              </w:rPr>
              <w:t>implementing controls to mitigate the risk of a PII data breach.</w:t>
            </w:r>
          </w:p>
          <w:p w14:paraId="7DB8CD1C" w14:textId="7A193FEB" w:rsidR="00004DB5" w:rsidRPr="00DE3B72" w:rsidRDefault="00004DB5" w:rsidP="00004DB5">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IntenseReference"/>
                <w:rFonts w:cstheme="minorHAnsi"/>
                <w:b w:val="0"/>
                <w:bCs w:val="0"/>
                <w:smallCaps w:val="0"/>
                <w:color w:val="auto"/>
                <w:spacing w:val="0"/>
                <w:lang w:val="en-US"/>
              </w:rPr>
            </w:pPr>
            <w:r w:rsidRPr="007A2715">
              <w:rPr>
                <w:rStyle w:val="IntenseReference"/>
                <w:bCs w:val="0"/>
                <w:smallCaps w:val="0"/>
                <w:color w:val="auto"/>
              </w:rPr>
              <w:t>QUESTION</w:t>
            </w:r>
            <w:r>
              <w:rPr>
                <w:rStyle w:val="IntenseReference"/>
                <w:bCs w:val="0"/>
                <w:smallCaps w:val="0"/>
                <w:color w:val="auto"/>
              </w:rPr>
              <w:t xml:space="preserve">: </w:t>
            </w:r>
            <w:r w:rsidRPr="007A2715">
              <w:rPr>
                <w:rStyle w:val="IntenseReference"/>
                <w:b w:val="0"/>
                <w:bCs w:val="0"/>
                <w:smallCaps w:val="0"/>
                <w:color w:val="auto"/>
              </w:rPr>
              <w:t>Should the DSB</w:t>
            </w:r>
            <w:r>
              <w:rPr>
                <w:rStyle w:val="IntenseReference"/>
                <w:b w:val="0"/>
                <w:bCs w:val="0"/>
                <w:smallCaps w:val="0"/>
                <w:color w:val="auto"/>
              </w:rPr>
              <w:t xml:space="preserve"> explore adopting the ISO 27018 standard as its framework for addressing data breach risks on Personally Identifiable Information</w:t>
            </w:r>
            <w:r w:rsidRPr="007A2715">
              <w:rPr>
                <w:rStyle w:val="IntenseReference"/>
                <w:b w:val="0"/>
                <w:bCs w:val="0"/>
                <w:smallCaps w:val="0"/>
                <w:color w:val="auto"/>
              </w:rPr>
              <w:t>?</w:t>
            </w:r>
          </w:p>
        </w:tc>
        <w:tc>
          <w:tcPr>
            <w:tcW w:w="4394" w:type="dxa"/>
            <w:vAlign w:val="center"/>
          </w:tcPr>
          <w:p w14:paraId="4C58D11F" w14:textId="6AFCD6E1" w:rsidR="00004DB5" w:rsidRPr="00785DEF" w:rsidRDefault="00004DB5" w:rsidP="00004DB5">
            <w:pPr>
              <w:spacing w:line="276" w:lineRule="auto"/>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lang w:val="en-US"/>
              </w:rPr>
            </w:pPr>
          </w:p>
        </w:tc>
      </w:tr>
      <w:tr w:rsidR="00004DB5" w:rsidRPr="00551628" w14:paraId="4685F44C" w14:textId="77777777" w:rsidTr="00BC639C">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684" w:type="dxa"/>
            <w:vAlign w:val="center"/>
          </w:tcPr>
          <w:p w14:paraId="29917398" w14:textId="53C4454D" w:rsidR="00004DB5" w:rsidRPr="00534C80" w:rsidRDefault="00004DB5" w:rsidP="00004DB5">
            <w:pPr>
              <w:spacing w:after="120" w:line="276" w:lineRule="auto"/>
              <w:rPr>
                <w:smallCaps/>
              </w:rPr>
            </w:pPr>
            <w:r>
              <w:rPr>
                <w:smallCaps/>
              </w:rPr>
              <w:t>5.5</w:t>
            </w:r>
          </w:p>
        </w:tc>
        <w:tc>
          <w:tcPr>
            <w:tcW w:w="4840" w:type="dxa"/>
            <w:gridSpan w:val="4"/>
            <w:vAlign w:val="center"/>
          </w:tcPr>
          <w:p w14:paraId="0BB7ECF1"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 xml:space="preserve">In late 2017, the Financial Stability Board (FSB) provided a stock take of </w:t>
            </w:r>
            <w:hyperlink r:id="rId46" w:history="1">
              <w:r w:rsidRPr="006F56F3">
                <w:rPr>
                  <w:rStyle w:val="Hyperlink"/>
                  <w:rFonts w:eastAsia="Times New Roman" w:cstheme="minorHAnsi"/>
                  <w:bCs/>
                </w:rPr>
                <w:t>publicly released cybersecurity regulations and guidance</w:t>
              </w:r>
            </w:hyperlink>
            <w:r>
              <w:rPr>
                <w:rStyle w:val="FootnoteReference"/>
                <w:rFonts w:eastAsia="Times New Roman" w:cstheme="minorHAnsi"/>
                <w:bCs/>
              </w:rPr>
              <w:footnoteReference w:id="12"/>
            </w:r>
            <w:r>
              <w:rPr>
                <w:rFonts w:eastAsia="Times New Roman" w:cstheme="minorHAnsi"/>
                <w:bCs/>
              </w:rPr>
              <w:t>. Whilst such guidance is not directly applicable to the DSB, the DSB does undertake periodic reviews of regulatory guidance on cybersecurity given the in-direct impact as a vendor to regulated entities.</w:t>
            </w:r>
          </w:p>
          <w:p w14:paraId="2A099558" w14:textId="77777777" w:rsidR="00004DB5"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 xml:space="preserve">The FSB paper described the creation of the role of </w:t>
            </w:r>
            <w:r w:rsidRPr="006F56F3">
              <w:rPr>
                <w:rFonts w:eastAsia="Times New Roman" w:cstheme="minorHAnsi"/>
                <w:b/>
                <w:bCs/>
              </w:rPr>
              <w:t>Chief Information Security Office</w:t>
            </w:r>
            <w:r>
              <w:rPr>
                <w:rFonts w:eastAsia="Times New Roman" w:cstheme="minorHAnsi"/>
                <w:bCs/>
              </w:rPr>
              <w:t xml:space="preserve"> within 38 </w:t>
            </w:r>
            <w:r w:rsidRPr="006F56F3">
              <w:rPr>
                <w:rFonts w:eastAsia="Times New Roman" w:cstheme="minorHAnsi"/>
                <w:bCs/>
              </w:rPr>
              <w:t xml:space="preserve">of </w:t>
            </w:r>
            <w:r>
              <w:rPr>
                <w:rFonts w:eastAsia="Times New Roman" w:cstheme="minorHAnsi"/>
                <w:bCs/>
              </w:rPr>
              <w:t xml:space="preserve">the </w:t>
            </w:r>
            <w:r w:rsidRPr="006F56F3">
              <w:rPr>
                <w:rFonts w:eastAsia="Times New Roman" w:cstheme="minorHAnsi"/>
                <w:bCs/>
              </w:rPr>
              <w:t xml:space="preserve">56 </w:t>
            </w:r>
            <w:r>
              <w:rPr>
                <w:rFonts w:eastAsia="Times New Roman" w:cstheme="minorHAnsi"/>
                <w:bCs/>
              </w:rPr>
              <w:t xml:space="preserve">regulatory </w:t>
            </w:r>
            <w:r w:rsidRPr="006F56F3">
              <w:rPr>
                <w:rFonts w:eastAsia="Times New Roman" w:cstheme="minorHAnsi"/>
                <w:bCs/>
              </w:rPr>
              <w:t xml:space="preserve">schemes </w:t>
            </w:r>
            <w:r>
              <w:rPr>
                <w:rFonts w:eastAsia="Times New Roman" w:cstheme="minorHAnsi"/>
                <w:bCs/>
              </w:rPr>
              <w:t xml:space="preserve">reviewed (page 22), with 34 of the schemes also addressing the independence </w:t>
            </w:r>
            <w:r>
              <w:rPr>
                <w:rFonts w:eastAsia="Times New Roman" w:cstheme="minorHAnsi"/>
                <w:bCs/>
              </w:rPr>
              <w:lastRenderedPageBreak/>
              <w:t xml:space="preserve">of the cybersecurity function from other business lines. </w:t>
            </w:r>
          </w:p>
          <w:p w14:paraId="4CB328DC" w14:textId="77777777" w:rsidR="00004DB5" w:rsidRPr="006F56F3"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The DSB’s cybersecurity function is currently integrated within the core management team in order to achieve a lean management team.</w:t>
            </w:r>
          </w:p>
          <w:p w14:paraId="4C0C546D" w14:textId="38138242" w:rsidR="00004DB5" w:rsidRPr="000A5EEC" w:rsidRDefault="00004DB5" w:rsidP="00004DB5">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IntenseReference"/>
                <w:b w:val="0"/>
                <w:bCs w:val="0"/>
                <w:smallCaps w:val="0"/>
                <w:color w:val="auto"/>
                <w:lang w:val="en-US"/>
              </w:rPr>
            </w:pPr>
            <w:r w:rsidRPr="007A2715">
              <w:rPr>
                <w:rStyle w:val="IntenseReference"/>
                <w:bCs w:val="0"/>
                <w:smallCaps w:val="0"/>
                <w:color w:val="auto"/>
              </w:rPr>
              <w:t>QUESTION</w:t>
            </w:r>
            <w:r>
              <w:rPr>
                <w:rStyle w:val="IntenseReference"/>
                <w:bCs w:val="0"/>
                <w:smallCaps w:val="0"/>
                <w:color w:val="auto"/>
              </w:rPr>
              <w:t xml:space="preserve">: </w:t>
            </w:r>
            <w:r w:rsidRPr="007A2715">
              <w:rPr>
                <w:rStyle w:val="IntenseReference"/>
                <w:b w:val="0"/>
                <w:bCs w:val="0"/>
                <w:smallCaps w:val="0"/>
                <w:color w:val="auto"/>
              </w:rPr>
              <w:t>Should the DSB</w:t>
            </w:r>
            <w:r>
              <w:rPr>
                <w:rStyle w:val="IntenseReference"/>
                <w:b w:val="0"/>
                <w:bCs w:val="0"/>
                <w:smallCaps w:val="0"/>
                <w:color w:val="auto"/>
              </w:rPr>
              <w:t xml:space="preserve"> explore adding a new role of Chief Information Security Officer to its management team</w:t>
            </w:r>
            <w:r w:rsidRPr="007A2715">
              <w:rPr>
                <w:rStyle w:val="IntenseReference"/>
                <w:b w:val="0"/>
                <w:bCs w:val="0"/>
                <w:smallCaps w:val="0"/>
                <w:color w:val="auto"/>
              </w:rPr>
              <w:t>?</w:t>
            </w:r>
          </w:p>
        </w:tc>
        <w:tc>
          <w:tcPr>
            <w:tcW w:w="4394" w:type="dxa"/>
            <w:vAlign w:val="center"/>
          </w:tcPr>
          <w:p w14:paraId="100FBB02" w14:textId="77777777" w:rsidR="00004DB5" w:rsidRPr="00785DEF" w:rsidRDefault="00004DB5" w:rsidP="00004DB5">
            <w:pPr>
              <w:spacing w:line="276" w:lineRule="auto"/>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lang w:val="en-US"/>
              </w:rPr>
            </w:pPr>
          </w:p>
        </w:tc>
      </w:tr>
      <w:tr w:rsidR="00004DB5" w:rsidRPr="00551628" w14:paraId="2CE55762" w14:textId="77777777" w:rsidTr="00BC639C">
        <w:trPr>
          <w:trHeight w:val="68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2F5496" w:themeFill="accent5" w:themeFillShade="BF"/>
            <w:vAlign w:val="center"/>
          </w:tcPr>
          <w:p w14:paraId="2E05BB0B" w14:textId="7052727A" w:rsidR="00004DB5" w:rsidRPr="00551628" w:rsidRDefault="00004DB5" w:rsidP="00004DB5">
            <w:pPr>
              <w:pStyle w:val="Heading2"/>
              <w:numPr>
                <w:ilvl w:val="0"/>
                <w:numId w:val="0"/>
              </w:numPr>
              <w:spacing w:before="60" w:after="120" w:line="276" w:lineRule="auto"/>
              <w:outlineLvl w:val="1"/>
            </w:pPr>
            <w:bookmarkStart w:id="28" w:name="_Toc7171265"/>
            <w:bookmarkStart w:id="29" w:name="_Toc8250287"/>
            <w:r w:rsidRPr="00DF200D">
              <w:rPr>
                <w:rStyle w:val="IntenseReference"/>
                <w:b/>
                <w:color w:val="FFFFFF" w:themeColor="background1"/>
              </w:rPr>
              <w:t>Section 6: AOB</w:t>
            </w:r>
            <w:bookmarkEnd w:id="28"/>
            <w:bookmarkEnd w:id="29"/>
            <w:r w:rsidRPr="00DF200D">
              <w:rPr>
                <w:rStyle w:val="IntenseReference"/>
                <w:b/>
                <w:color w:val="FFFFFF" w:themeColor="background1"/>
              </w:rPr>
              <w:t xml:space="preserve"> </w:t>
            </w:r>
          </w:p>
        </w:tc>
      </w:tr>
      <w:tr w:rsidR="00004DB5" w:rsidRPr="00551628" w14:paraId="5818806C" w14:textId="77777777" w:rsidTr="00E7520A">
        <w:trPr>
          <w:cnfStyle w:val="000000100000" w:firstRow="0" w:lastRow="0" w:firstColumn="0" w:lastColumn="0" w:oddVBand="0" w:evenVBand="0" w:oddHBand="1" w:evenHBand="0" w:firstRowFirstColumn="0" w:firstRowLastColumn="0" w:lastRowFirstColumn="0" w:lastRowLastColumn="0"/>
          <w:trHeight w:val="7946"/>
        </w:trPr>
        <w:tc>
          <w:tcPr>
            <w:cnfStyle w:val="001000000000" w:firstRow="0" w:lastRow="0" w:firstColumn="1" w:lastColumn="0" w:oddVBand="0" w:evenVBand="0" w:oddHBand="0" w:evenHBand="0" w:firstRowFirstColumn="0" w:firstRowLastColumn="0" w:lastRowFirstColumn="0" w:lastRowLastColumn="0"/>
            <w:tcW w:w="1236" w:type="dxa"/>
            <w:gridSpan w:val="3"/>
            <w:vAlign w:val="center"/>
          </w:tcPr>
          <w:p w14:paraId="08E1B43B" w14:textId="79D90C1D" w:rsidR="00004DB5" w:rsidRDefault="00004DB5" w:rsidP="00004DB5">
            <w:pPr>
              <w:spacing w:after="120" w:line="276" w:lineRule="auto"/>
            </w:pPr>
            <w:r>
              <w:t>6.1</w:t>
            </w:r>
          </w:p>
        </w:tc>
        <w:tc>
          <w:tcPr>
            <w:tcW w:w="8682" w:type="dxa"/>
            <w:gridSpan w:val="3"/>
            <w:shd w:val="clear" w:color="auto" w:fill="auto"/>
            <w:vAlign w:val="center"/>
          </w:tcPr>
          <w:p w14:paraId="4D9B09DD" w14:textId="7C99F4E5" w:rsidR="00004DB5" w:rsidRDefault="00004DB5" w:rsidP="00004DB5">
            <w:pPr>
              <w:spacing w:before="120" w:after="240" w:line="276" w:lineRule="auto"/>
              <w:cnfStyle w:val="000000100000" w:firstRow="0" w:lastRow="0" w:firstColumn="0" w:lastColumn="0" w:oddVBand="0" w:evenVBand="0" w:oddHBand="1" w:evenHBand="0" w:firstRowFirstColumn="0" w:firstRowLastColumn="0" w:lastRowFirstColumn="0" w:lastRowLastColumn="0"/>
            </w:pPr>
            <w:r>
              <w:t>How would you prioritize the importance of the following to your organization?</w:t>
            </w:r>
          </w:p>
          <w:tbl>
            <w:tblPr>
              <w:tblStyle w:val="TableGrid"/>
              <w:tblW w:w="821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3337"/>
              <w:gridCol w:w="589"/>
              <w:gridCol w:w="429"/>
              <w:gridCol w:w="431"/>
              <w:gridCol w:w="430"/>
              <w:gridCol w:w="431"/>
              <w:gridCol w:w="431"/>
              <w:gridCol w:w="2139"/>
            </w:tblGrid>
            <w:tr w:rsidR="00004DB5" w:rsidRPr="00C32875" w14:paraId="14564E4D" w14:textId="77777777" w:rsidTr="0057721A">
              <w:tc>
                <w:tcPr>
                  <w:tcW w:w="3337" w:type="dxa"/>
                  <w:shd w:val="clear" w:color="auto" w:fill="5B9BD5" w:themeFill="accent1"/>
                </w:tcPr>
                <w:p w14:paraId="5F2F3546" w14:textId="77777777" w:rsidR="00004DB5" w:rsidRPr="000F7425" w:rsidRDefault="00004DB5" w:rsidP="00004DB5">
                  <w:pPr>
                    <w:spacing w:line="276" w:lineRule="auto"/>
                    <w:rPr>
                      <w:rFonts w:cstheme="minorHAnsi"/>
                      <w:b/>
                      <w:color w:val="FFFFFF" w:themeColor="background1"/>
                    </w:rPr>
                  </w:pPr>
                </w:p>
              </w:tc>
              <w:tc>
                <w:tcPr>
                  <w:tcW w:w="2741" w:type="dxa"/>
                  <w:gridSpan w:val="6"/>
                  <w:shd w:val="clear" w:color="auto" w:fill="5B9BD5" w:themeFill="accent1"/>
                </w:tcPr>
                <w:p w14:paraId="311BB0C6" w14:textId="068F2773" w:rsidR="00004DB5" w:rsidRPr="000F7425" w:rsidRDefault="00004DB5" w:rsidP="00004DB5">
                  <w:pPr>
                    <w:spacing w:line="276" w:lineRule="auto"/>
                    <w:jc w:val="center"/>
                    <w:rPr>
                      <w:rFonts w:cstheme="minorHAnsi"/>
                      <w:b/>
                      <w:color w:val="FFFFFF" w:themeColor="background1"/>
                    </w:rPr>
                  </w:pPr>
                  <w:r>
                    <w:rPr>
                      <w:rFonts w:cstheme="minorHAnsi"/>
                      <w:b/>
                      <w:color w:val="FFFFFF" w:themeColor="background1"/>
                    </w:rPr>
                    <w:t>1=</w:t>
                  </w:r>
                  <w:r w:rsidRPr="000F7425">
                    <w:rPr>
                      <w:rFonts w:cstheme="minorHAnsi"/>
                      <w:b/>
                      <w:color w:val="FFFFFF" w:themeColor="background1"/>
                    </w:rPr>
                    <w:t xml:space="preserve">Least </w:t>
                  </w:r>
                  <w:r>
                    <w:rPr>
                      <w:rFonts w:cstheme="minorHAnsi"/>
                      <w:b/>
                      <w:color w:val="FFFFFF" w:themeColor="background1"/>
                    </w:rPr>
                    <w:t>and 5=</w:t>
                  </w:r>
                  <w:r w:rsidRPr="000F7425">
                    <w:rPr>
                      <w:rFonts w:cstheme="minorHAnsi"/>
                      <w:b/>
                      <w:color w:val="FFFFFF" w:themeColor="background1"/>
                    </w:rPr>
                    <w:t>Most Important</w:t>
                  </w:r>
                </w:p>
              </w:tc>
              <w:tc>
                <w:tcPr>
                  <w:tcW w:w="2139" w:type="dxa"/>
                  <w:shd w:val="clear" w:color="auto" w:fill="5B9BD5" w:themeFill="accent1"/>
                </w:tcPr>
                <w:p w14:paraId="0E595674" w14:textId="77777777" w:rsidR="00004DB5" w:rsidRPr="000F7425" w:rsidRDefault="00004DB5" w:rsidP="00004DB5">
                  <w:pPr>
                    <w:spacing w:line="276" w:lineRule="auto"/>
                    <w:rPr>
                      <w:rFonts w:cstheme="minorHAnsi"/>
                      <w:b/>
                      <w:color w:val="FFFFFF" w:themeColor="background1"/>
                    </w:rPr>
                  </w:pPr>
                </w:p>
              </w:tc>
            </w:tr>
            <w:tr w:rsidR="00004DB5" w:rsidRPr="00C32875" w14:paraId="1EEECFD1" w14:textId="77777777" w:rsidTr="0057721A">
              <w:tc>
                <w:tcPr>
                  <w:tcW w:w="3337" w:type="dxa"/>
                  <w:shd w:val="clear" w:color="auto" w:fill="5B9BD5" w:themeFill="accent1"/>
                </w:tcPr>
                <w:p w14:paraId="4E068F40" w14:textId="77777777" w:rsidR="00004DB5" w:rsidRPr="000F7425" w:rsidRDefault="00004DB5" w:rsidP="00004DB5">
                  <w:pPr>
                    <w:spacing w:line="276" w:lineRule="auto"/>
                    <w:rPr>
                      <w:rFonts w:cstheme="minorHAnsi"/>
                      <w:b/>
                      <w:color w:val="FFFFFF" w:themeColor="background1"/>
                    </w:rPr>
                  </w:pPr>
                  <w:r w:rsidRPr="000F7425">
                    <w:rPr>
                      <w:rFonts w:cstheme="minorHAnsi"/>
                      <w:b/>
                      <w:color w:val="FFFFFF" w:themeColor="background1"/>
                    </w:rPr>
                    <w:t>Subject</w:t>
                  </w:r>
                </w:p>
              </w:tc>
              <w:tc>
                <w:tcPr>
                  <w:tcW w:w="589" w:type="dxa"/>
                  <w:shd w:val="clear" w:color="auto" w:fill="5B9BD5" w:themeFill="accent1"/>
                </w:tcPr>
                <w:p w14:paraId="6CB27BB0"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N/A</w:t>
                  </w:r>
                </w:p>
              </w:tc>
              <w:tc>
                <w:tcPr>
                  <w:tcW w:w="429" w:type="dxa"/>
                  <w:shd w:val="clear" w:color="auto" w:fill="5B9BD5" w:themeFill="accent1"/>
                </w:tcPr>
                <w:p w14:paraId="16400F4B"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1</w:t>
                  </w:r>
                </w:p>
              </w:tc>
              <w:tc>
                <w:tcPr>
                  <w:tcW w:w="431" w:type="dxa"/>
                  <w:shd w:val="clear" w:color="auto" w:fill="5B9BD5" w:themeFill="accent1"/>
                </w:tcPr>
                <w:p w14:paraId="32976991"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2</w:t>
                  </w:r>
                </w:p>
              </w:tc>
              <w:tc>
                <w:tcPr>
                  <w:tcW w:w="430" w:type="dxa"/>
                  <w:shd w:val="clear" w:color="auto" w:fill="5B9BD5" w:themeFill="accent1"/>
                </w:tcPr>
                <w:p w14:paraId="75B9B7CA"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3</w:t>
                  </w:r>
                </w:p>
              </w:tc>
              <w:tc>
                <w:tcPr>
                  <w:tcW w:w="431" w:type="dxa"/>
                  <w:shd w:val="clear" w:color="auto" w:fill="5B9BD5" w:themeFill="accent1"/>
                </w:tcPr>
                <w:p w14:paraId="70CCB199"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4</w:t>
                  </w:r>
                </w:p>
              </w:tc>
              <w:tc>
                <w:tcPr>
                  <w:tcW w:w="431" w:type="dxa"/>
                  <w:shd w:val="clear" w:color="auto" w:fill="5B9BD5" w:themeFill="accent1"/>
                </w:tcPr>
                <w:p w14:paraId="77C6261A" w14:textId="77777777" w:rsidR="00004DB5" w:rsidRPr="000F7425" w:rsidRDefault="00004DB5" w:rsidP="00004DB5">
                  <w:pPr>
                    <w:spacing w:line="276" w:lineRule="auto"/>
                    <w:jc w:val="center"/>
                    <w:rPr>
                      <w:rFonts w:cstheme="minorHAnsi"/>
                      <w:b/>
                      <w:color w:val="FFFFFF" w:themeColor="background1"/>
                    </w:rPr>
                  </w:pPr>
                  <w:r w:rsidRPr="000F7425">
                    <w:rPr>
                      <w:rFonts w:cstheme="minorHAnsi"/>
                      <w:b/>
                      <w:color w:val="FFFFFF" w:themeColor="background1"/>
                    </w:rPr>
                    <w:t>5</w:t>
                  </w:r>
                </w:p>
              </w:tc>
              <w:tc>
                <w:tcPr>
                  <w:tcW w:w="2139" w:type="dxa"/>
                  <w:shd w:val="clear" w:color="auto" w:fill="5B9BD5" w:themeFill="accent1"/>
                </w:tcPr>
                <w:p w14:paraId="07B0A677" w14:textId="77777777" w:rsidR="00004DB5" w:rsidRPr="000F7425" w:rsidRDefault="00004DB5" w:rsidP="00004DB5">
                  <w:pPr>
                    <w:spacing w:line="276" w:lineRule="auto"/>
                    <w:rPr>
                      <w:rFonts w:cstheme="minorHAnsi"/>
                      <w:b/>
                      <w:color w:val="FFFFFF" w:themeColor="background1"/>
                    </w:rPr>
                  </w:pPr>
                  <w:r w:rsidRPr="000F7425">
                    <w:rPr>
                      <w:rFonts w:cstheme="minorHAnsi"/>
                      <w:b/>
                      <w:color w:val="FFFFFF" w:themeColor="background1"/>
                    </w:rPr>
                    <w:t>Comment</w:t>
                  </w:r>
                </w:p>
              </w:tc>
            </w:tr>
            <w:tr w:rsidR="00004DB5" w:rsidRPr="00C32875" w14:paraId="43C22764" w14:textId="77777777" w:rsidTr="0057721A">
              <w:tc>
                <w:tcPr>
                  <w:tcW w:w="3337" w:type="dxa"/>
                </w:tcPr>
                <w:p w14:paraId="4AA73B53" w14:textId="77777777" w:rsidR="00004DB5" w:rsidRPr="00C32875" w:rsidRDefault="00004DB5" w:rsidP="00004DB5">
                  <w:pPr>
                    <w:spacing w:line="276" w:lineRule="auto"/>
                    <w:rPr>
                      <w:rFonts w:cstheme="minorHAnsi"/>
                    </w:rPr>
                  </w:pPr>
                  <w:r w:rsidRPr="00C32875">
                    <w:rPr>
                      <w:rFonts w:cstheme="minorHAnsi"/>
                    </w:rPr>
                    <w:t>Improved GUI Experience</w:t>
                  </w:r>
                </w:p>
              </w:tc>
              <w:tc>
                <w:tcPr>
                  <w:tcW w:w="589" w:type="dxa"/>
                </w:tcPr>
                <w:p w14:paraId="0C9BB40D" w14:textId="77777777" w:rsidR="00004DB5" w:rsidRPr="000F7425" w:rsidRDefault="00004DB5" w:rsidP="00004DB5">
                  <w:pPr>
                    <w:spacing w:line="276" w:lineRule="auto"/>
                    <w:jc w:val="center"/>
                    <w:rPr>
                      <w:rFonts w:cstheme="minorHAnsi"/>
                    </w:rPr>
                  </w:pPr>
                </w:p>
              </w:tc>
              <w:tc>
                <w:tcPr>
                  <w:tcW w:w="429" w:type="dxa"/>
                </w:tcPr>
                <w:p w14:paraId="4C57027B" w14:textId="77777777" w:rsidR="00004DB5" w:rsidRPr="00C32875" w:rsidRDefault="00004DB5" w:rsidP="00004DB5">
                  <w:pPr>
                    <w:spacing w:line="276" w:lineRule="auto"/>
                    <w:jc w:val="center"/>
                    <w:rPr>
                      <w:rFonts w:cstheme="minorHAnsi"/>
                    </w:rPr>
                  </w:pPr>
                </w:p>
              </w:tc>
              <w:tc>
                <w:tcPr>
                  <w:tcW w:w="431" w:type="dxa"/>
                </w:tcPr>
                <w:p w14:paraId="41070585" w14:textId="77777777" w:rsidR="00004DB5" w:rsidRPr="00C32875" w:rsidRDefault="00004DB5" w:rsidP="00004DB5">
                  <w:pPr>
                    <w:spacing w:line="276" w:lineRule="auto"/>
                    <w:jc w:val="center"/>
                    <w:rPr>
                      <w:rFonts w:cstheme="minorHAnsi"/>
                    </w:rPr>
                  </w:pPr>
                </w:p>
              </w:tc>
              <w:tc>
                <w:tcPr>
                  <w:tcW w:w="430" w:type="dxa"/>
                </w:tcPr>
                <w:p w14:paraId="456B9B2E" w14:textId="77777777" w:rsidR="00004DB5" w:rsidRPr="00C32875" w:rsidRDefault="00004DB5" w:rsidP="00004DB5">
                  <w:pPr>
                    <w:spacing w:line="276" w:lineRule="auto"/>
                    <w:jc w:val="center"/>
                    <w:rPr>
                      <w:rFonts w:cstheme="minorHAnsi"/>
                    </w:rPr>
                  </w:pPr>
                </w:p>
              </w:tc>
              <w:tc>
                <w:tcPr>
                  <w:tcW w:w="431" w:type="dxa"/>
                </w:tcPr>
                <w:p w14:paraId="4C2D01B6" w14:textId="77777777" w:rsidR="00004DB5" w:rsidRPr="00C32875" w:rsidRDefault="00004DB5" w:rsidP="00004DB5">
                  <w:pPr>
                    <w:spacing w:line="276" w:lineRule="auto"/>
                    <w:jc w:val="center"/>
                    <w:rPr>
                      <w:rFonts w:cstheme="minorHAnsi"/>
                    </w:rPr>
                  </w:pPr>
                </w:p>
              </w:tc>
              <w:tc>
                <w:tcPr>
                  <w:tcW w:w="431" w:type="dxa"/>
                </w:tcPr>
                <w:p w14:paraId="75A78053" w14:textId="77777777" w:rsidR="00004DB5" w:rsidRPr="00C32875" w:rsidRDefault="00004DB5" w:rsidP="00004DB5">
                  <w:pPr>
                    <w:spacing w:line="276" w:lineRule="auto"/>
                    <w:jc w:val="center"/>
                    <w:rPr>
                      <w:rFonts w:cstheme="minorHAnsi"/>
                    </w:rPr>
                  </w:pPr>
                </w:p>
              </w:tc>
              <w:tc>
                <w:tcPr>
                  <w:tcW w:w="2139" w:type="dxa"/>
                </w:tcPr>
                <w:p w14:paraId="35F2EEDB" w14:textId="77777777" w:rsidR="00004DB5" w:rsidRPr="00C32875" w:rsidRDefault="00004DB5" w:rsidP="00004DB5">
                  <w:pPr>
                    <w:spacing w:line="276" w:lineRule="auto"/>
                    <w:rPr>
                      <w:rFonts w:cstheme="minorHAnsi"/>
                    </w:rPr>
                  </w:pPr>
                </w:p>
              </w:tc>
            </w:tr>
            <w:tr w:rsidR="00004DB5" w:rsidRPr="00C32875" w14:paraId="6E4F1983" w14:textId="77777777" w:rsidTr="0057721A">
              <w:tc>
                <w:tcPr>
                  <w:tcW w:w="3337" w:type="dxa"/>
                </w:tcPr>
                <w:p w14:paraId="0A6E0D62" w14:textId="77777777" w:rsidR="00004DB5" w:rsidRPr="00C32875" w:rsidRDefault="00004DB5" w:rsidP="00004DB5">
                  <w:pPr>
                    <w:spacing w:line="276" w:lineRule="auto"/>
                    <w:rPr>
                      <w:rFonts w:cstheme="minorHAnsi"/>
                    </w:rPr>
                  </w:pPr>
                  <w:r w:rsidRPr="00C32875">
                    <w:rPr>
                      <w:rFonts w:cstheme="minorHAnsi"/>
                    </w:rPr>
                    <w:t>Additional GUI Functionality</w:t>
                  </w:r>
                </w:p>
              </w:tc>
              <w:tc>
                <w:tcPr>
                  <w:tcW w:w="589" w:type="dxa"/>
                </w:tcPr>
                <w:p w14:paraId="3B042B37" w14:textId="77777777" w:rsidR="00004DB5" w:rsidRPr="000F7425" w:rsidRDefault="00004DB5" w:rsidP="00004DB5">
                  <w:pPr>
                    <w:spacing w:line="276" w:lineRule="auto"/>
                    <w:jc w:val="center"/>
                    <w:rPr>
                      <w:rFonts w:cstheme="minorHAnsi"/>
                    </w:rPr>
                  </w:pPr>
                </w:p>
              </w:tc>
              <w:tc>
                <w:tcPr>
                  <w:tcW w:w="429" w:type="dxa"/>
                </w:tcPr>
                <w:p w14:paraId="29FAA2D1" w14:textId="77777777" w:rsidR="00004DB5" w:rsidRPr="00C32875" w:rsidRDefault="00004DB5" w:rsidP="00004DB5">
                  <w:pPr>
                    <w:spacing w:line="276" w:lineRule="auto"/>
                    <w:jc w:val="center"/>
                    <w:rPr>
                      <w:rFonts w:cstheme="minorHAnsi"/>
                    </w:rPr>
                  </w:pPr>
                </w:p>
              </w:tc>
              <w:tc>
                <w:tcPr>
                  <w:tcW w:w="431" w:type="dxa"/>
                </w:tcPr>
                <w:p w14:paraId="0F44EA7F" w14:textId="77777777" w:rsidR="00004DB5" w:rsidRPr="00C32875" w:rsidRDefault="00004DB5" w:rsidP="00004DB5">
                  <w:pPr>
                    <w:spacing w:line="276" w:lineRule="auto"/>
                    <w:jc w:val="center"/>
                    <w:rPr>
                      <w:rFonts w:cstheme="minorHAnsi"/>
                    </w:rPr>
                  </w:pPr>
                </w:p>
              </w:tc>
              <w:tc>
                <w:tcPr>
                  <w:tcW w:w="430" w:type="dxa"/>
                </w:tcPr>
                <w:p w14:paraId="61E4B0F3" w14:textId="77777777" w:rsidR="00004DB5" w:rsidRPr="00C32875" w:rsidRDefault="00004DB5" w:rsidP="00004DB5">
                  <w:pPr>
                    <w:spacing w:line="276" w:lineRule="auto"/>
                    <w:jc w:val="center"/>
                    <w:rPr>
                      <w:rFonts w:cstheme="minorHAnsi"/>
                    </w:rPr>
                  </w:pPr>
                </w:p>
              </w:tc>
              <w:tc>
                <w:tcPr>
                  <w:tcW w:w="431" w:type="dxa"/>
                </w:tcPr>
                <w:p w14:paraId="1D653791" w14:textId="77777777" w:rsidR="00004DB5" w:rsidRPr="00C32875" w:rsidRDefault="00004DB5" w:rsidP="00004DB5">
                  <w:pPr>
                    <w:spacing w:line="276" w:lineRule="auto"/>
                    <w:jc w:val="center"/>
                    <w:rPr>
                      <w:rFonts w:cstheme="minorHAnsi"/>
                    </w:rPr>
                  </w:pPr>
                </w:p>
              </w:tc>
              <w:tc>
                <w:tcPr>
                  <w:tcW w:w="431" w:type="dxa"/>
                </w:tcPr>
                <w:p w14:paraId="4F116E9F" w14:textId="77777777" w:rsidR="00004DB5" w:rsidRPr="00C32875" w:rsidRDefault="00004DB5" w:rsidP="00004DB5">
                  <w:pPr>
                    <w:spacing w:line="276" w:lineRule="auto"/>
                    <w:jc w:val="center"/>
                    <w:rPr>
                      <w:rFonts w:cstheme="minorHAnsi"/>
                    </w:rPr>
                  </w:pPr>
                </w:p>
              </w:tc>
              <w:tc>
                <w:tcPr>
                  <w:tcW w:w="2139" w:type="dxa"/>
                </w:tcPr>
                <w:p w14:paraId="6ACDA566" w14:textId="77777777" w:rsidR="00004DB5" w:rsidRPr="00C32875" w:rsidRDefault="00004DB5" w:rsidP="00004DB5">
                  <w:pPr>
                    <w:spacing w:line="276" w:lineRule="auto"/>
                    <w:rPr>
                      <w:rFonts w:cstheme="minorHAnsi"/>
                    </w:rPr>
                  </w:pPr>
                </w:p>
              </w:tc>
            </w:tr>
            <w:tr w:rsidR="00004DB5" w:rsidRPr="00C32875" w14:paraId="7111D09E" w14:textId="77777777" w:rsidTr="0057721A">
              <w:tc>
                <w:tcPr>
                  <w:tcW w:w="3337" w:type="dxa"/>
                </w:tcPr>
                <w:p w14:paraId="6B92A050" w14:textId="77777777" w:rsidR="00004DB5" w:rsidRPr="00C32875" w:rsidRDefault="00004DB5" w:rsidP="00004DB5">
                  <w:pPr>
                    <w:spacing w:line="276" w:lineRule="auto"/>
                    <w:rPr>
                      <w:rFonts w:cstheme="minorHAnsi"/>
                    </w:rPr>
                  </w:pPr>
                  <w:r w:rsidRPr="00C32875">
                    <w:rPr>
                      <w:rFonts w:cstheme="minorHAnsi"/>
                    </w:rPr>
                    <w:t>Reduced Template Release Time</w:t>
                  </w:r>
                </w:p>
              </w:tc>
              <w:tc>
                <w:tcPr>
                  <w:tcW w:w="589" w:type="dxa"/>
                </w:tcPr>
                <w:p w14:paraId="731D024A" w14:textId="77777777" w:rsidR="00004DB5" w:rsidRPr="000F7425" w:rsidRDefault="00004DB5" w:rsidP="00004DB5">
                  <w:pPr>
                    <w:spacing w:line="276" w:lineRule="auto"/>
                    <w:jc w:val="center"/>
                    <w:rPr>
                      <w:rFonts w:cstheme="minorHAnsi"/>
                    </w:rPr>
                  </w:pPr>
                </w:p>
              </w:tc>
              <w:tc>
                <w:tcPr>
                  <w:tcW w:w="429" w:type="dxa"/>
                </w:tcPr>
                <w:p w14:paraId="3AEDBA02" w14:textId="77777777" w:rsidR="00004DB5" w:rsidRPr="00C32875" w:rsidRDefault="00004DB5" w:rsidP="00004DB5">
                  <w:pPr>
                    <w:spacing w:line="276" w:lineRule="auto"/>
                    <w:jc w:val="center"/>
                    <w:rPr>
                      <w:rFonts w:cstheme="minorHAnsi"/>
                    </w:rPr>
                  </w:pPr>
                </w:p>
              </w:tc>
              <w:tc>
                <w:tcPr>
                  <w:tcW w:w="431" w:type="dxa"/>
                </w:tcPr>
                <w:p w14:paraId="4D05B292" w14:textId="77777777" w:rsidR="00004DB5" w:rsidRPr="00C32875" w:rsidRDefault="00004DB5" w:rsidP="00004DB5">
                  <w:pPr>
                    <w:spacing w:line="276" w:lineRule="auto"/>
                    <w:jc w:val="center"/>
                    <w:rPr>
                      <w:rFonts w:cstheme="minorHAnsi"/>
                    </w:rPr>
                  </w:pPr>
                </w:p>
              </w:tc>
              <w:tc>
                <w:tcPr>
                  <w:tcW w:w="430" w:type="dxa"/>
                </w:tcPr>
                <w:p w14:paraId="6EA06EB1" w14:textId="77777777" w:rsidR="00004DB5" w:rsidRPr="00C32875" w:rsidRDefault="00004DB5" w:rsidP="00004DB5">
                  <w:pPr>
                    <w:spacing w:line="276" w:lineRule="auto"/>
                    <w:jc w:val="center"/>
                    <w:rPr>
                      <w:rFonts w:cstheme="minorHAnsi"/>
                    </w:rPr>
                  </w:pPr>
                </w:p>
              </w:tc>
              <w:tc>
                <w:tcPr>
                  <w:tcW w:w="431" w:type="dxa"/>
                </w:tcPr>
                <w:p w14:paraId="1BC36C79" w14:textId="77777777" w:rsidR="00004DB5" w:rsidRPr="00C32875" w:rsidRDefault="00004DB5" w:rsidP="00004DB5">
                  <w:pPr>
                    <w:spacing w:line="276" w:lineRule="auto"/>
                    <w:jc w:val="center"/>
                    <w:rPr>
                      <w:rFonts w:cstheme="minorHAnsi"/>
                    </w:rPr>
                  </w:pPr>
                </w:p>
              </w:tc>
              <w:tc>
                <w:tcPr>
                  <w:tcW w:w="431" w:type="dxa"/>
                </w:tcPr>
                <w:p w14:paraId="33250E49" w14:textId="77777777" w:rsidR="00004DB5" w:rsidRPr="00C32875" w:rsidRDefault="00004DB5" w:rsidP="00004DB5">
                  <w:pPr>
                    <w:spacing w:line="276" w:lineRule="auto"/>
                    <w:jc w:val="center"/>
                    <w:rPr>
                      <w:rFonts w:cstheme="minorHAnsi"/>
                    </w:rPr>
                  </w:pPr>
                </w:p>
              </w:tc>
              <w:tc>
                <w:tcPr>
                  <w:tcW w:w="2139" w:type="dxa"/>
                </w:tcPr>
                <w:p w14:paraId="2FA1E66E" w14:textId="77777777" w:rsidR="00004DB5" w:rsidRPr="00C32875" w:rsidRDefault="00004DB5" w:rsidP="00004DB5">
                  <w:pPr>
                    <w:spacing w:line="276" w:lineRule="auto"/>
                    <w:rPr>
                      <w:rFonts w:cstheme="minorHAnsi"/>
                    </w:rPr>
                  </w:pPr>
                </w:p>
              </w:tc>
            </w:tr>
            <w:tr w:rsidR="00004DB5" w:rsidRPr="00C32875" w14:paraId="7C327E23" w14:textId="77777777" w:rsidTr="0057721A">
              <w:tc>
                <w:tcPr>
                  <w:tcW w:w="3337" w:type="dxa"/>
                </w:tcPr>
                <w:p w14:paraId="537D2240" w14:textId="77777777" w:rsidR="00004DB5" w:rsidRPr="00C32875" w:rsidRDefault="00004DB5" w:rsidP="00004DB5">
                  <w:pPr>
                    <w:spacing w:line="276" w:lineRule="auto"/>
                    <w:rPr>
                      <w:rFonts w:cstheme="minorHAnsi"/>
                    </w:rPr>
                  </w:pPr>
                  <w:r w:rsidRPr="000F7425">
                    <w:rPr>
                      <w:rFonts w:cstheme="minorHAnsi"/>
                    </w:rPr>
                    <w:t>Automated Prop Index Creation</w:t>
                  </w:r>
                </w:p>
              </w:tc>
              <w:tc>
                <w:tcPr>
                  <w:tcW w:w="589" w:type="dxa"/>
                </w:tcPr>
                <w:p w14:paraId="0297DDFA" w14:textId="77777777" w:rsidR="00004DB5" w:rsidRPr="000F7425" w:rsidRDefault="00004DB5" w:rsidP="00004DB5">
                  <w:pPr>
                    <w:spacing w:line="276" w:lineRule="auto"/>
                    <w:jc w:val="center"/>
                    <w:rPr>
                      <w:rFonts w:cstheme="minorHAnsi"/>
                    </w:rPr>
                  </w:pPr>
                </w:p>
              </w:tc>
              <w:tc>
                <w:tcPr>
                  <w:tcW w:w="429" w:type="dxa"/>
                </w:tcPr>
                <w:p w14:paraId="172B6271" w14:textId="77777777" w:rsidR="00004DB5" w:rsidRPr="00C32875" w:rsidRDefault="00004DB5" w:rsidP="00004DB5">
                  <w:pPr>
                    <w:spacing w:line="276" w:lineRule="auto"/>
                    <w:jc w:val="center"/>
                    <w:rPr>
                      <w:rFonts w:cstheme="minorHAnsi"/>
                    </w:rPr>
                  </w:pPr>
                </w:p>
              </w:tc>
              <w:tc>
                <w:tcPr>
                  <w:tcW w:w="431" w:type="dxa"/>
                </w:tcPr>
                <w:p w14:paraId="766C3961" w14:textId="77777777" w:rsidR="00004DB5" w:rsidRPr="00C32875" w:rsidRDefault="00004DB5" w:rsidP="00004DB5">
                  <w:pPr>
                    <w:spacing w:line="276" w:lineRule="auto"/>
                    <w:jc w:val="center"/>
                    <w:rPr>
                      <w:rFonts w:cstheme="minorHAnsi"/>
                    </w:rPr>
                  </w:pPr>
                </w:p>
              </w:tc>
              <w:tc>
                <w:tcPr>
                  <w:tcW w:w="430" w:type="dxa"/>
                </w:tcPr>
                <w:p w14:paraId="30E23527" w14:textId="77777777" w:rsidR="00004DB5" w:rsidRPr="00C32875" w:rsidRDefault="00004DB5" w:rsidP="00004DB5">
                  <w:pPr>
                    <w:spacing w:line="276" w:lineRule="auto"/>
                    <w:jc w:val="center"/>
                    <w:rPr>
                      <w:rFonts w:cstheme="minorHAnsi"/>
                    </w:rPr>
                  </w:pPr>
                </w:p>
              </w:tc>
              <w:tc>
                <w:tcPr>
                  <w:tcW w:w="431" w:type="dxa"/>
                </w:tcPr>
                <w:p w14:paraId="711DD6D5" w14:textId="77777777" w:rsidR="00004DB5" w:rsidRPr="00C32875" w:rsidRDefault="00004DB5" w:rsidP="00004DB5">
                  <w:pPr>
                    <w:spacing w:line="276" w:lineRule="auto"/>
                    <w:jc w:val="center"/>
                    <w:rPr>
                      <w:rFonts w:cstheme="minorHAnsi"/>
                    </w:rPr>
                  </w:pPr>
                </w:p>
              </w:tc>
              <w:tc>
                <w:tcPr>
                  <w:tcW w:w="431" w:type="dxa"/>
                </w:tcPr>
                <w:p w14:paraId="20C79607" w14:textId="77777777" w:rsidR="00004DB5" w:rsidRPr="00C32875" w:rsidRDefault="00004DB5" w:rsidP="00004DB5">
                  <w:pPr>
                    <w:spacing w:line="276" w:lineRule="auto"/>
                    <w:jc w:val="center"/>
                    <w:rPr>
                      <w:rFonts w:cstheme="minorHAnsi"/>
                    </w:rPr>
                  </w:pPr>
                </w:p>
              </w:tc>
              <w:tc>
                <w:tcPr>
                  <w:tcW w:w="2139" w:type="dxa"/>
                </w:tcPr>
                <w:p w14:paraId="23D34CB5" w14:textId="77777777" w:rsidR="00004DB5" w:rsidRPr="00C32875" w:rsidRDefault="00004DB5" w:rsidP="00004DB5">
                  <w:pPr>
                    <w:spacing w:line="276" w:lineRule="auto"/>
                    <w:rPr>
                      <w:rFonts w:cstheme="minorHAnsi"/>
                    </w:rPr>
                  </w:pPr>
                </w:p>
              </w:tc>
            </w:tr>
            <w:tr w:rsidR="00004DB5" w:rsidRPr="00C32875" w14:paraId="4D16EC6B" w14:textId="77777777" w:rsidTr="0057721A">
              <w:tc>
                <w:tcPr>
                  <w:tcW w:w="3337" w:type="dxa"/>
                </w:tcPr>
                <w:p w14:paraId="381E025F" w14:textId="77777777" w:rsidR="00004DB5" w:rsidRPr="00C32875" w:rsidRDefault="00004DB5" w:rsidP="00004DB5">
                  <w:pPr>
                    <w:spacing w:line="276" w:lineRule="auto"/>
                    <w:rPr>
                      <w:rFonts w:cstheme="minorHAnsi"/>
                    </w:rPr>
                  </w:pPr>
                  <w:r w:rsidRPr="000F7425">
                    <w:rPr>
                      <w:rFonts w:cstheme="minorHAnsi"/>
                    </w:rPr>
                    <w:t>Re-modelled Template-based Architecture</w:t>
                  </w:r>
                </w:p>
              </w:tc>
              <w:tc>
                <w:tcPr>
                  <w:tcW w:w="589" w:type="dxa"/>
                </w:tcPr>
                <w:p w14:paraId="724DC183" w14:textId="77777777" w:rsidR="00004DB5" w:rsidRPr="000F7425" w:rsidRDefault="00004DB5" w:rsidP="00004DB5">
                  <w:pPr>
                    <w:spacing w:line="276" w:lineRule="auto"/>
                    <w:jc w:val="center"/>
                    <w:rPr>
                      <w:rFonts w:cstheme="minorHAnsi"/>
                    </w:rPr>
                  </w:pPr>
                </w:p>
              </w:tc>
              <w:tc>
                <w:tcPr>
                  <w:tcW w:w="429" w:type="dxa"/>
                </w:tcPr>
                <w:p w14:paraId="2C05B7FA" w14:textId="77777777" w:rsidR="00004DB5" w:rsidRPr="00C32875" w:rsidRDefault="00004DB5" w:rsidP="00004DB5">
                  <w:pPr>
                    <w:spacing w:line="276" w:lineRule="auto"/>
                    <w:jc w:val="center"/>
                    <w:rPr>
                      <w:rFonts w:cstheme="minorHAnsi"/>
                    </w:rPr>
                  </w:pPr>
                </w:p>
              </w:tc>
              <w:tc>
                <w:tcPr>
                  <w:tcW w:w="431" w:type="dxa"/>
                </w:tcPr>
                <w:p w14:paraId="726FAF2F" w14:textId="77777777" w:rsidR="00004DB5" w:rsidRPr="00C32875" w:rsidRDefault="00004DB5" w:rsidP="00004DB5">
                  <w:pPr>
                    <w:spacing w:line="276" w:lineRule="auto"/>
                    <w:jc w:val="center"/>
                    <w:rPr>
                      <w:rFonts w:cstheme="minorHAnsi"/>
                    </w:rPr>
                  </w:pPr>
                </w:p>
              </w:tc>
              <w:tc>
                <w:tcPr>
                  <w:tcW w:w="430" w:type="dxa"/>
                </w:tcPr>
                <w:p w14:paraId="41A09536" w14:textId="77777777" w:rsidR="00004DB5" w:rsidRPr="00C32875" w:rsidRDefault="00004DB5" w:rsidP="00004DB5">
                  <w:pPr>
                    <w:spacing w:line="276" w:lineRule="auto"/>
                    <w:jc w:val="center"/>
                    <w:rPr>
                      <w:rFonts w:cstheme="minorHAnsi"/>
                    </w:rPr>
                  </w:pPr>
                </w:p>
              </w:tc>
              <w:tc>
                <w:tcPr>
                  <w:tcW w:w="431" w:type="dxa"/>
                </w:tcPr>
                <w:p w14:paraId="48890B43" w14:textId="77777777" w:rsidR="00004DB5" w:rsidRPr="00C32875" w:rsidRDefault="00004DB5" w:rsidP="00004DB5">
                  <w:pPr>
                    <w:spacing w:line="276" w:lineRule="auto"/>
                    <w:jc w:val="center"/>
                    <w:rPr>
                      <w:rFonts w:cstheme="minorHAnsi"/>
                    </w:rPr>
                  </w:pPr>
                </w:p>
              </w:tc>
              <w:tc>
                <w:tcPr>
                  <w:tcW w:w="431" w:type="dxa"/>
                </w:tcPr>
                <w:p w14:paraId="4C81F097" w14:textId="77777777" w:rsidR="00004DB5" w:rsidRPr="00C32875" w:rsidRDefault="00004DB5" w:rsidP="00004DB5">
                  <w:pPr>
                    <w:spacing w:line="276" w:lineRule="auto"/>
                    <w:jc w:val="center"/>
                    <w:rPr>
                      <w:rFonts w:cstheme="minorHAnsi"/>
                    </w:rPr>
                  </w:pPr>
                </w:p>
              </w:tc>
              <w:tc>
                <w:tcPr>
                  <w:tcW w:w="2139" w:type="dxa"/>
                </w:tcPr>
                <w:p w14:paraId="2FF7B63C" w14:textId="77777777" w:rsidR="00004DB5" w:rsidRPr="00C32875" w:rsidRDefault="00004DB5" w:rsidP="00004DB5">
                  <w:pPr>
                    <w:spacing w:line="276" w:lineRule="auto"/>
                    <w:rPr>
                      <w:rFonts w:cstheme="minorHAnsi"/>
                    </w:rPr>
                  </w:pPr>
                </w:p>
              </w:tc>
            </w:tr>
            <w:tr w:rsidR="00004DB5" w:rsidRPr="00C32875" w14:paraId="501F1EFE" w14:textId="77777777" w:rsidTr="0057721A">
              <w:tc>
                <w:tcPr>
                  <w:tcW w:w="3337" w:type="dxa"/>
                </w:tcPr>
                <w:p w14:paraId="0378AFCC" w14:textId="77777777" w:rsidR="00004DB5" w:rsidRPr="00C32875" w:rsidRDefault="00004DB5" w:rsidP="00004DB5">
                  <w:pPr>
                    <w:spacing w:line="276" w:lineRule="auto"/>
                    <w:rPr>
                      <w:rFonts w:cstheme="minorHAnsi"/>
                    </w:rPr>
                  </w:pPr>
                  <w:r w:rsidRPr="000F7425">
                    <w:rPr>
                      <w:rFonts w:cstheme="minorHAnsi"/>
                    </w:rPr>
                    <w:t>Greater range of Underlying IDs</w:t>
                  </w:r>
                </w:p>
              </w:tc>
              <w:tc>
                <w:tcPr>
                  <w:tcW w:w="589" w:type="dxa"/>
                </w:tcPr>
                <w:p w14:paraId="47FCE04D" w14:textId="77777777" w:rsidR="00004DB5" w:rsidRPr="000F7425" w:rsidRDefault="00004DB5" w:rsidP="00004DB5">
                  <w:pPr>
                    <w:spacing w:line="276" w:lineRule="auto"/>
                    <w:jc w:val="center"/>
                    <w:rPr>
                      <w:rFonts w:cstheme="minorHAnsi"/>
                    </w:rPr>
                  </w:pPr>
                </w:p>
              </w:tc>
              <w:tc>
                <w:tcPr>
                  <w:tcW w:w="429" w:type="dxa"/>
                </w:tcPr>
                <w:p w14:paraId="4B35D6D8" w14:textId="77777777" w:rsidR="00004DB5" w:rsidRPr="00C32875" w:rsidRDefault="00004DB5" w:rsidP="00004DB5">
                  <w:pPr>
                    <w:spacing w:line="276" w:lineRule="auto"/>
                    <w:jc w:val="center"/>
                    <w:rPr>
                      <w:rFonts w:cstheme="minorHAnsi"/>
                    </w:rPr>
                  </w:pPr>
                </w:p>
              </w:tc>
              <w:tc>
                <w:tcPr>
                  <w:tcW w:w="431" w:type="dxa"/>
                </w:tcPr>
                <w:p w14:paraId="6B7FF362" w14:textId="77777777" w:rsidR="00004DB5" w:rsidRPr="00C32875" w:rsidRDefault="00004DB5" w:rsidP="00004DB5">
                  <w:pPr>
                    <w:spacing w:line="276" w:lineRule="auto"/>
                    <w:jc w:val="center"/>
                    <w:rPr>
                      <w:rFonts w:cstheme="minorHAnsi"/>
                    </w:rPr>
                  </w:pPr>
                </w:p>
              </w:tc>
              <w:tc>
                <w:tcPr>
                  <w:tcW w:w="430" w:type="dxa"/>
                </w:tcPr>
                <w:p w14:paraId="26A8EB6B" w14:textId="77777777" w:rsidR="00004DB5" w:rsidRPr="00C32875" w:rsidRDefault="00004DB5" w:rsidP="00004DB5">
                  <w:pPr>
                    <w:spacing w:line="276" w:lineRule="auto"/>
                    <w:jc w:val="center"/>
                    <w:rPr>
                      <w:rFonts w:cstheme="minorHAnsi"/>
                    </w:rPr>
                  </w:pPr>
                </w:p>
              </w:tc>
              <w:tc>
                <w:tcPr>
                  <w:tcW w:w="431" w:type="dxa"/>
                </w:tcPr>
                <w:p w14:paraId="395C223E" w14:textId="77777777" w:rsidR="00004DB5" w:rsidRPr="00C32875" w:rsidRDefault="00004DB5" w:rsidP="00004DB5">
                  <w:pPr>
                    <w:spacing w:line="276" w:lineRule="auto"/>
                    <w:jc w:val="center"/>
                    <w:rPr>
                      <w:rFonts w:cstheme="minorHAnsi"/>
                    </w:rPr>
                  </w:pPr>
                </w:p>
              </w:tc>
              <w:tc>
                <w:tcPr>
                  <w:tcW w:w="431" w:type="dxa"/>
                </w:tcPr>
                <w:p w14:paraId="1E9A6B1C" w14:textId="77777777" w:rsidR="00004DB5" w:rsidRPr="00C32875" w:rsidRDefault="00004DB5" w:rsidP="00004DB5">
                  <w:pPr>
                    <w:spacing w:line="276" w:lineRule="auto"/>
                    <w:jc w:val="center"/>
                    <w:rPr>
                      <w:rFonts w:cstheme="minorHAnsi"/>
                    </w:rPr>
                  </w:pPr>
                </w:p>
              </w:tc>
              <w:tc>
                <w:tcPr>
                  <w:tcW w:w="2139" w:type="dxa"/>
                </w:tcPr>
                <w:p w14:paraId="250BC8B2" w14:textId="77777777" w:rsidR="00004DB5" w:rsidRPr="00C32875" w:rsidRDefault="00004DB5" w:rsidP="00004DB5">
                  <w:pPr>
                    <w:spacing w:line="276" w:lineRule="auto"/>
                    <w:rPr>
                      <w:rFonts w:cstheme="minorHAnsi"/>
                    </w:rPr>
                  </w:pPr>
                </w:p>
              </w:tc>
            </w:tr>
            <w:tr w:rsidR="00004DB5" w:rsidRPr="00C32875" w14:paraId="6B854B40" w14:textId="77777777" w:rsidTr="0057721A">
              <w:tc>
                <w:tcPr>
                  <w:tcW w:w="3337" w:type="dxa"/>
                </w:tcPr>
                <w:p w14:paraId="54F4D74E" w14:textId="77777777" w:rsidR="00004DB5" w:rsidRPr="00C32875" w:rsidRDefault="00004DB5" w:rsidP="00004DB5">
                  <w:pPr>
                    <w:spacing w:line="276" w:lineRule="auto"/>
                    <w:rPr>
                      <w:rFonts w:cstheme="minorHAnsi"/>
                    </w:rPr>
                  </w:pPr>
                  <w:r w:rsidRPr="000F7425">
                    <w:rPr>
                      <w:rFonts w:cstheme="minorHAnsi"/>
                    </w:rPr>
                    <w:t>Greater range of supported products</w:t>
                  </w:r>
                </w:p>
              </w:tc>
              <w:tc>
                <w:tcPr>
                  <w:tcW w:w="589" w:type="dxa"/>
                </w:tcPr>
                <w:p w14:paraId="4FF4ADCB" w14:textId="77777777" w:rsidR="00004DB5" w:rsidRPr="000F7425" w:rsidRDefault="00004DB5" w:rsidP="00004DB5">
                  <w:pPr>
                    <w:spacing w:line="276" w:lineRule="auto"/>
                    <w:jc w:val="center"/>
                    <w:rPr>
                      <w:rFonts w:cstheme="minorHAnsi"/>
                    </w:rPr>
                  </w:pPr>
                </w:p>
              </w:tc>
              <w:tc>
                <w:tcPr>
                  <w:tcW w:w="429" w:type="dxa"/>
                </w:tcPr>
                <w:p w14:paraId="78BC1225" w14:textId="77777777" w:rsidR="00004DB5" w:rsidRPr="00C32875" w:rsidRDefault="00004DB5" w:rsidP="00004DB5">
                  <w:pPr>
                    <w:spacing w:line="276" w:lineRule="auto"/>
                    <w:jc w:val="center"/>
                    <w:rPr>
                      <w:rFonts w:cstheme="minorHAnsi"/>
                    </w:rPr>
                  </w:pPr>
                </w:p>
              </w:tc>
              <w:tc>
                <w:tcPr>
                  <w:tcW w:w="431" w:type="dxa"/>
                </w:tcPr>
                <w:p w14:paraId="621107A1" w14:textId="77777777" w:rsidR="00004DB5" w:rsidRPr="00C32875" w:rsidRDefault="00004DB5" w:rsidP="00004DB5">
                  <w:pPr>
                    <w:spacing w:line="276" w:lineRule="auto"/>
                    <w:jc w:val="center"/>
                    <w:rPr>
                      <w:rFonts w:cstheme="minorHAnsi"/>
                    </w:rPr>
                  </w:pPr>
                </w:p>
              </w:tc>
              <w:tc>
                <w:tcPr>
                  <w:tcW w:w="430" w:type="dxa"/>
                </w:tcPr>
                <w:p w14:paraId="425EA4CC" w14:textId="77777777" w:rsidR="00004DB5" w:rsidRPr="00C32875" w:rsidRDefault="00004DB5" w:rsidP="00004DB5">
                  <w:pPr>
                    <w:spacing w:line="276" w:lineRule="auto"/>
                    <w:jc w:val="center"/>
                    <w:rPr>
                      <w:rFonts w:cstheme="minorHAnsi"/>
                    </w:rPr>
                  </w:pPr>
                </w:p>
              </w:tc>
              <w:tc>
                <w:tcPr>
                  <w:tcW w:w="431" w:type="dxa"/>
                </w:tcPr>
                <w:p w14:paraId="43E502DF" w14:textId="77777777" w:rsidR="00004DB5" w:rsidRPr="00C32875" w:rsidRDefault="00004DB5" w:rsidP="00004DB5">
                  <w:pPr>
                    <w:spacing w:line="276" w:lineRule="auto"/>
                    <w:jc w:val="center"/>
                    <w:rPr>
                      <w:rFonts w:cstheme="minorHAnsi"/>
                    </w:rPr>
                  </w:pPr>
                </w:p>
              </w:tc>
              <w:tc>
                <w:tcPr>
                  <w:tcW w:w="431" w:type="dxa"/>
                </w:tcPr>
                <w:p w14:paraId="43ABF9E8" w14:textId="77777777" w:rsidR="00004DB5" w:rsidRPr="00C32875" w:rsidRDefault="00004DB5" w:rsidP="00004DB5">
                  <w:pPr>
                    <w:spacing w:line="276" w:lineRule="auto"/>
                    <w:jc w:val="center"/>
                    <w:rPr>
                      <w:rFonts w:cstheme="minorHAnsi"/>
                    </w:rPr>
                  </w:pPr>
                </w:p>
              </w:tc>
              <w:tc>
                <w:tcPr>
                  <w:tcW w:w="2139" w:type="dxa"/>
                </w:tcPr>
                <w:p w14:paraId="379F0B67" w14:textId="77777777" w:rsidR="00004DB5" w:rsidRPr="00C32875" w:rsidRDefault="00004DB5" w:rsidP="00004DB5">
                  <w:pPr>
                    <w:spacing w:line="276" w:lineRule="auto"/>
                    <w:rPr>
                      <w:rFonts w:cstheme="minorHAnsi"/>
                    </w:rPr>
                  </w:pPr>
                </w:p>
              </w:tc>
            </w:tr>
            <w:tr w:rsidR="00004DB5" w:rsidRPr="00C32875" w14:paraId="7AFBD9EB" w14:textId="77777777" w:rsidTr="0057721A">
              <w:tc>
                <w:tcPr>
                  <w:tcW w:w="3337" w:type="dxa"/>
                </w:tcPr>
                <w:p w14:paraId="73A4D879" w14:textId="77777777" w:rsidR="00004DB5" w:rsidRPr="00C32875" w:rsidRDefault="00004DB5" w:rsidP="00004DB5">
                  <w:pPr>
                    <w:spacing w:line="276" w:lineRule="auto"/>
                    <w:rPr>
                      <w:rFonts w:cstheme="minorHAnsi"/>
                    </w:rPr>
                  </w:pPr>
                  <w:r w:rsidRPr="000F7425">
                    <w:rPr>
                      <w:rFonts w:cstheme="minorHAnsi"/>
                    </w:rPr>
                    <w:t>Improved Technical Support</w:t>
                  </w:r>
                </w:p>
              </w:tc>
              <w:tc>
                <w:tcPr>
                  <w:tcW w:w="589" w:type="dxa"/>
                </w:tcPr>
                <w:p w14:paraId="16118E79" w14:textId="77777777" w:rsidR="00004DB5" w:rsidRPr="000F7425" w:rsidRDefault="00004DB5" w:rsidP="00004DB5">
                  <w:pPr>
                    <w:spacing w:line="276" w:lineRule="auto"/>
                    <w:jc w:val="center"/>
                    <w:rPr>
                      <w:rFonts w:cstheme="minorHAnsi"/>
                    </w:rPr>
                  </w:pPr>
                </w:p>
              </w:tc>
              <w:tc>
                <w:tcPr>
                  <w:tcW w:w="429" w:type="dxa"/>
                </w:tcPr>
                <w:p w14:paraId="3A937CD1" w14:textId="77777777" w:rsidR="00004DB5" w:rsidRPr="00C32875" w:rsidRDefault="00004DB5" w:rsidP="00004DB5">
                  <w:pPr>
                    <w:spacing w:line="276" w:lineRule="auto"/>
                    <w:jc w:val="center"/>
                    <w:rPr>
                      <w:rFonts w:cstheme="minorHAnsi"/>
                    </w:rPr>
                  </w:pPr>
                </w:p>
              </w:tc>
              <w:tc>
                <w:tcPr>
                  <w:tcW w:w="431" w:type="dxa"/>
                </w:tcPr>
                <w:p w14:paraId="472834FE" w14:textId="77777777" w:rsidR="00004DB5" w:rsidRPr="00C32875" w:rsidRDefault="00004DB5" w:rsidP="00004DB5">
                  <w:pPr>
                    <w:spacing w:line="276" w:lineRule="auto"/>
                    <w:jc w:val="center"/>
                    <w:rPr>
                      <w:rFonts w:cstheme="minorHAnsi"/>
                    </w:rPr>
                  </w:pPr>
                </w:p>
              </w:tc>
              <w:tc>
                <w:tcPr>
                  <w:tcW w:w="430" w:type="dxa"/>
                </w:tcPr>
                <w:p w14:paraId="6C85D0A8" w14:textId="77777777" w:rsidR="00004DB5" w:rsidRPr="00C32875" w:rsidRDefault="00004DB5" w:rsidP="00004DB5">
                  <w:pPr>
                    <w:spacing w:line="276" w:lineRule="auto"/>
                    <w:jc w:val="center"/>
                    <w:rPr>
                      <w:rFonts w:cstheme="minorHAnsi"/>
                    </w:rPr>
                  </w:pPr>
                </w:p>
              </w:tc>
              <w:tc>
                <w:tcPr>
                  <w:tcW w:w="431" w:type="dxa"/>
                </w:tcPr>
                <w:p w14:paraId="64A2BBCF" w14:textId="77777777" w:rsidR="00004DB5" w:rsidRPr="00C32875" w:rsidRDefault="00004DB5" w:rsidP="00004DB5">
                  <w:pPr>
                    <w:spacing w:line="276" w:lineRule="auto"/>
                    <w:jc w:val="center"/>
                    <w:rPr>
                      <w:rFonts w:cstheme="minorHAnsi"/>
                    </w:rPr>
                  </w:pPr>
                </w:p>
              </w:tc>
              <w:tc>
                <w:tcPr>
                  <w:tcW w:w="431" w:type="dxa"/>
                </w:tcPr>
                <w:p w14:paraId="520BDAED" w14:textId="77777777" w:rsidR="00004DB5" w:rsidRPr="00C32875" w:rsidRDefault="00004DB5" w:rsidP="00004DB5">
                  <w:pPr>
                    <w:spacing w:line="276" w:lineRule="auto"/>
                    <w:jc w:val="center"/>
                    <w:rPr>
                      <w:rFonts w:cstheme="minorHAnsi"/>
                    </w:rPr>
                  </w:pPr>
                </w:p>
              </w:tc>
              <w:tc>
                <w:tcPr>
                  <w:tcW w:w="2139" w:type="dxa"/>
                </w:tcPr>
                <w:p w14:paraId="2BDA9110" w14:textId="77777777" w:rsidR="00004DB5" w:rsidRPr="00C32875" w:rsidRDefault="00004DB5" w:rsidP="00004DB5">
                  <w:pPr>
                    <w:spacing w:line="276" w:lineRule="auto"/>
                    <w:rPr>
                      <w:rFonts w:cstheme="minorHAnsi"/>
                    </w:rPr>
                  </w:pPr>
                </w:p>
              </w:tc>
            </w:tr>
            <w:tr w:rsidR="00004DB5" w:rsidRPr="00C32875" w14:paraId="226B5B71" w14:textId="77777777" w:rsidTr="0057721A">
              <w:tc>
                <w:tcPr>
                  <w:tcW w:w="3337" w:type="dxa"/>
                </w:tcPr>
                <w:p w14:paraId="2AE3F4AC" w14:textId="77777777" w:rsidR="00004DB5" w:rsidRPr="00C32875" w:rsidRDefault="00004DB5" w:rsidP="00004DB5">
                  <w:pPr>
                    <w:spacing w:line="276" w:lineRule="auto"/>
                    <w:rPr>
                      <w:rFonts w:cstheme="minorHAnsi"/>
                    </w:rPr>
                  </w:pPr>
                  <w:r w:rsidRPr="000F7425">
                    <w:rPr>
                      <w:rFonts w:cstheme="minorHAnsi"/>
                    </w:rPr>
                    <w:t>Improved Product Documentation</w:t>
                  </w:r>
                </w:p>
              </w:tc>
              <w:tc>
                <w:tcPr>
                  <w:tcW w:w="589" w:type="dxa"/>
                </w:tcPr>
                <w:p w14:paraId="062E3E55" w14:textId="77777777" w:rsidR="00004DB5" w:rsidRPr="000F7425" w:rsidRDefault="00004DB5" w:rsidP="00004DB5">
                  <w:pPr>
                    <w:spacing w:line="276" w:lineRule="auto"/>
                    <w:jc w:val="center"/>
                    <w:rPr>
                      <w:rFonts w:cstheme="minorHAnsi"/>
                    </w:rPr>
                  </w:pPr>
                </w:p>
              </w:tc>
              <w:tc>
                <w:tcPr>
                  <w:tcW w:w="429" w:type="dxa"/>
                </w:tcPr>
                <w:p w14:paraId="371A002C" w14:textId="77777777" w:rsidR="00004DB5" w:rsidRPr="00C32875" w:rsidRDefault="00004DB5" w:rsidP="00004DB5">
                  <w:pPr>
                    <w:spacing w:line="276" w:lineRule="auto"/>
                    <w:jc w:val="center"/>
                    <w:rPr>
                      <w:rFonts w:cstheme="minorHAnsi"/>
                    </w:rPr>
                  </w:pPr>
                </w:p>
              </w:tc>
              <w:tc>
                <w:tcPr>
                  <w:tcW w:w="431" w:type="dxa"/>
                </w:tcPr>
                <w:p w14:paraId="7B8561C9" w14:textId="77777777" w:rsidR="00004DB5" w:rsidRPr="00C32875" w:rsidRDefault="00004DB5" w:rsidP="00004DB5">
                  <w:pPr>
                    <w:spacing w:line="276" w:lineRule="auto"/>
                    <w:jc w:val="center"/>
                    <w:rPr>
                      <w:rFonts w:cstheme="minorHAnsi"/>
                    </w:rPr>
                  </w:pPr>
                </w:p>
              </w:tc>
              <w:tc>
                <w:tcPr>
                  <w:tcW w:w="430" w:type="dxa"/>
                </w:tcPr>
                <w:p w14:paraId="47055900" w14:textId="77777777" w:rsidR="00004DB5" w:rsidRPr="00C32875" w:rsidRDefault="00004DB5" w:rsidP="00004DB5">
                  <w:pPr>
                    <w:spacing w:line="276" w:lineRule="auto"/>
                    <w:jc w:val="center"/>
                    <w:rPr>
                      <w:rFonts w:cstheme="minorHAnsi"/>
                    </w:rPr>
                  </w:pPr>
                </w:p>
              </w:tc>
              <w:tc>
                <w:tcPr>
                  <w:tcW w:w="431" w:type="dxa"/>
                </w:tcPr>
                <w:p w14:paraId="33342DF1" w14:textId="77777777" w:rsidR="00004DB5" w:rsidRPr="00C32875" w:rsidRDefault="00004DB5" w:rsidP="00004DB5">
                  <w:pPr>
                    <w:spacing w:line="276" w:lineRule="auto"/>
                    <w:jc w:val="center"/>
                    <w:rPr>
                      <w:rFonts w:cstheme="minorHAnsi"/>
                    </w:rPr>
                  </w:pPr>
                </w:p>
              </w:tc>
              <w:tc>
                <w:tcPr>
                  <w:tcW w:w="431" w:type="dxa"/>
                </w:tcPr>
                <w:p w14:paraId="73D34154" w14:textId="77777777" w:rsidR="00004DB5" w:rsidRPr="00C32875" w:rsidRDefault="00004DB5" w:rsidP="00004DB5">
                  <w:pPr>
                    <w:spacing w:line="276" w:lineRule="auto"/>
                    <w:jc w:val="center"/>
                    <w:rPr>
                      <w:rFonts w:cstheme="minorHAnsi"/>
                    </w:rPr>
                  </w:pPr>
                </w:p>
              </w:tc>
              <w:tc>
                <w:tcPr>
                  <w:tcW w:w="2139" w:type="dxa"/>
                </w:tcPr>
                <w:p w14:paraId="0A7E1800" w14:textId="77777777" w:rsidR="00004DB5" w:rsidRPr="00C32875" w:rsidRDefault="00004DB5" w:rsidP="00004DB5">
                  <w:pPr>
                    <w:spacing w:line="276" w:lineRule="auto"/>
                    <w:rPr>
                      <w:rFonts w:cstheme="minorHAnsi"/>
                    </w:rPr>
                  </w:pPr>
                </w:p>
              </w:tc>
            </w:tr>
            <w:tr w:rsidR="00004DB5" w:rsidRPr="00C32875" w14:paraId="350708C0" w14:textId="77777777" w:rsidTr="0057721A">
              <w:tc>
                <w:tcPr>
                  <w:tcW w:w="3337" w:type="dxa"/>
                </w:tcPr>
                <w:p w14:paraId="0B9FD4AC" w14:textId="77777777" w:rsidR="00004DB5" w:rsidRPr="00C32875" w:rsidRDefault="00004DB5" w:rsidP="00004DB5">
                  <w:pPr>
                    <w:spacing w:line="276" w:lineRule="auto"/>
                    <w:rPr>
                      <w:rFonts w:cstheme="minorHAnsi"/>
                    </w:rPr>
                  </w:pPr>
                  <w:r w:rsidRPr="000F7425">
                    <w:rPr>
                      <w:rFonts w:cstheme="minorHAnsi"/>
                    </w:rPr>
                    <w:t>Reduced Service Downtime</w:t>
                  </w:r>
                </w:p>
              </w:tc>
              <w:tc>
                <w:tcPr>
                  <w:tcW w:w="589" w:type="dxa"/>
                </w:tcPr>
                <w:p w14:paraId="0DAE7D10" w14:textId="77777777" w:rsidR="00004DB5" w:rsidRPr="000F7425" w:rsidRDefault="00004DB5" w:rsidP="00004DB5">
                  <w:pPr>
                    <w:spacing w:line="276" w:lineRule="auto"/>
                    <w:jc w:val="center"/>
                    <w:rPr>
                      <w:rFonts w:cstheme="minorHAnsi"/>
                    </w:rPr>
                  </w:pPr>
                </w:p>
              </w:tc>
              <w:tc>
                <w:tcPr>
                  <w:tcW w:w="429" w:type="dxa"/>
                </w:tcPr>
                <w:p w14:paraId="7A009996" w14:textId="77777777" w:rsidR="00004DB5" w:rsidRPr="00C32875" w:rsidRDefault="00004DB5" w:rsidP="00004DB5">
                  <w:pPr>
                    <w:spacing w:line="276" w:lineRule="auto"/>
                    <w:jc w:val="center"/>
                    <w:rPr>
                      <w:rFonts w:cstheme="minorHAnsi"/>
                    </w:rPr>
                  </w:pPr>
                </w:p>
              </w:tc>
              <w:tc>
                <w:tcPr>
                  <w:tcW w:w="431" w:type="dxa"/>
                </w:tcPr>
                <w:p w14:paraId="04111A57" w14:textId="77777777" w:rsidR="00004DB5" w:rsidRPr="00C32875" w:rsidRDefault="00004DB5" w:rsidP="00004DB5">
                  <w:pPr>
                    <w:spacing w:line="276" w:lineRule="auto"/>
                    <w:jc w:val="center"/>
                    <w:rPr>
                      <w:rFonts w:cstheme="minorHAnsi"/>
                    </w:rPr>
                  </w:pPr>
                </w:p>
              </w:tc>
              <w:tc>
                <w:tcPr>
                  <w:tcW w:w="430" w:type="dxa"/>
                </w:tcPr>
                <w:p w14:paraId="1F2C1F0D" w14:textId="77777777" w:rsidR="00004DB5" w:rsidRPr="00C32875" w:rsidRDefault="00004DB5" w:rsidP="00004DB5">
                  <w:pPr>
                    <w:spacing w:line="276" w:lineRule="auto"/>
                    <w:jc w:val="center"/>
                    <w:rPr>
                      <w:rFonts w:cstheme="minorHAnsi"/>
                    </w:rPr>
                  </w:pPr>
                </w:p>
              </w:tc>
              <w:tc>
                <w:tcPr>
                  <w:tcW w:w="431" w:type="dxa"/>
                </w:tcPr>
                <w:p w14:paraId="7AAFE5F9" w14:textId="77777777" w:rsidR="00004DB5" w:rsidRPr="00C32875" w:rsidRDefault="00004DB5" w:rsidP="00004DB5">
                  <w:pPr>
                    <w:spacing w:line="276" w:lineRule="auto"/>
                    <w:jc w:val="center"/>
                    <w:rPr>
                      <w:rFonts w:cstheme="minorHAnsi"/>
                    </w:rPr>
                  </w:pPr>
                </w:p>
              </w:tc>
              <w:tc>
                <w:tcPr>
                  <w:tcW w:w="431" w:type="dxa"/>
                </w:tcPr>
                <w:p w14:paraId="491680C3" w14:textId="77777777" w:rsidR="00004DB5" w:rsidRPr="00C32875" w:rsidRDefault="00004DB5" w:rsidP="00004DB5">
                  <w:pPr>
                    <w:spacing w:line="276" w:lineRule="auto"/>
                    <w:jc w:val="center"/>
                    <w:rPr>
                      <w:rFonts w:cstheme="minorHAnsi"/>
                    </w:rPr>
                  </w:pPr>
                </w:p>
              </w:tc>
              <w:tc>
                <w:tcPr>
                  <w:tcW w:w="2139" w:type="dxa"/>
                </w:tcPr>
                <w:p w14:paraId="7F5683B1" w14:textId="77777777" w:rsidR="00004DB5" w:rsidRPr="00C32875" w:rsidRDefault="00004DB5" w:rsidP="00004DB5">
                  <w:pPr>
                    <w:spacing w:line="276" w:lineRule="auto"/>
                    <w:rPr>
                      <w:rFonts w:cstheme="minorHAnsi"/>
                    </w:rPr>
                  </w:pPr>
                </w:p>
              </w:tc>
            </w:tr>
            <w:tr w:rsidR="00004DB5" w:rsidRPr="00C32875" w14:paraId="16B3237B" w14:textId="77777777" w:rsidTr="0057721A">
              <w:tc>
                <w:tcPr>
                  <w:tcW w:w="3337" w:type="dxa"/>
                </w:tcPr>
                <w:p w14:paraId="69E77382" w14:textId="77777777" w:rsidR="00004DB5" w:rsidRPr="00C32875" w:rsidRDefault="00004DB5" w:rsidP="00004DB5">
                  <w:pPr>
                    <w:spacing w:line="276" w:lineRule="auto"/>
                    <w:rPr>
                      <w:rFonts w:cstheme="minorHAnsi"/>
                    </w:rPr>
                  </w:pPr>
                  <w:r w:rsidRPr="000F7425">
                    <w:rPr>
                      <w:rFonts w:cstheme="minorHAnsi"/>
                    </w:rPr>
                    <w:t>Improved Cybersecurity</w:t>
                  </w:r>
                </w:p>
              </w:tc>
              <w:tc>
                <w:tcPr>
                  <w:tcW w:w="589" w:type="dxa"/>
                </w:tcPr>
                <w:p w14:paraId="6F47202F" w14:textId="77777777" w:rsidR="00004DB5" w:rsidRPr="000F7425" w:rsidRDefault="00004DB5" w:rsidP="00004DB5">
                  <w:pPr>
                    <w:spacing w:line="276" w:lineRule="auto"/>
                    <w:jc w:val="center"/>
                    <w:rPr>
                      <w:rFonts w:cstheme="minorHAnsi"/>
                    </w:rPr>
                  </w:pPr>
                </w:p>
              </w:tc>
              <w:tc>
                <w:tcPr>
                  <w:tcW w:w="429" w:type="dxa"/>
                </w:tcPr>
                <w:p w14:paraId="16AAA2BD" w14:textId="77777777" w:rsidR="00004DB5" w:rsidRPr="00C32875" w:rsidRDefault="00004DB5" w:rsidP="00004DB5">
                  <w:pPr>
                    <w:spacing w:line="276" w:lineRule="auto"/>
                    <w:jc w:val="center"/>
                    <w:rPr>
                      <w:rFonts w:cstheme="minorHAnsi"/>
                    </w:rPr>
                  </w:pPr>
                </w:p>
              </w:tc>
              <w:tc>
                <w:tcPr>
                  <w:tcW w:w="431" w:type="dxa"/>
                </w:tcPr>
                <w:p w14:paraId="2B31E349" w14:textId="77777777" w:rsidR="00004DB5" w:rsidRPr="00C32875" w:rsidRDefault="00004DB5" w:rsidP="00004DB5">
                  <w:pPr>
                    <w:spacing w:line="276" w:lineRule="auto"/>
                    <w:jc w:val="center"/>
                    <w:rPr>
                      <w:rFonts w:cstheme="minorHAnsi"/>
                    </w:rPr>
                  </w:pPr>
                </w:p>
              </w:tc>
              <w:tc>
                <w:tcPr>
                  <w:tcW w:w="430" w:type="dxa"/>
                </w:tcPr>
                <w:p w14:paraId="33E92AF5" w14:textId="77777777" w:rsidR="00004DB5" w:rsidRPr="00C32875" w:rsidRDefault="00004DB5" w:rsidP="00004DB5">
                  <w:pPr>
                    <w:spacing w:line="276" w:lineRule="auto"/>
                    <w:jc w:val="center"/>
                    <w:rPr>
                      <w:rFonts w:cstheme="minorHAnsi"/>
                    </w:rPr>
                  </w:pPr>
                </w:p>
              </w:tc>
              <w:tc>
                <w:tcPr>
                  <w:tcW w:w="431" w:type="dxa"/>
                </w:tcPr>
                <w:p w14:paraId="1321BEC4" w14:textId="77777777" w:rsidR="00004DB5" w:rsidRPr="00C32875" w:rsidRDefault="00004DB5" w:rsidP="00004DB5">
                  <w:pPr>
                    <w:spacing w:line="276" w:lineRule="auto"/>
                    <w:jc w:val="center"/>
                    <w:rPr>
                      <w:rFonts w:cstheme="minorHAnsi"/>
                    </w:rPr>
                  </w:pPr>
                </w:p>
              </w:tc>
              <w:tc>
                <w:tcPr>
                  <w:tcW w:w="431" w:type="dxa"/>
                </w:tcPr>
                <w:p w14:paraId="10A01CCE" w14:textId="77777777" w:rsidR="00004DB5" w:rsidRPr="00C32875" w:rsidRDefault="00004DB5" w:rsidP="00004DB5">
                  <w:pPr>
                    <w:spacing w:line="276" w:lineRule="auto"/>
                    <w:jc w:val="center"/>
                    <w:rPr>
                      <w:rFonts w:cstheme="minorHAnsi"/>
                    </w:rPr>
                  </w:pPr>
                </w:p>
              </w:tc>
              <w:tc>
                <w:tcPr>
                  <w:tcW w:w="2139" w:type="dxa"/>
                </w:tcPr>
                <w:p w14:paraId="697DB5C5" w14:textId="77777777" w:rsidR="00004DB5" w:rsidRPr="00C32875" w:rsidRDefault="00004DB5" w:rsidP="00004DB5">
                  <w:pPr>
                    <w:spacing w:line="276" w:lineRule="auto"/>
                    <w:rPr>
                      <w:rFonts w:cstheme="minorHAnsi"/>
                    </w:rPr>
                  </w:pPr>
                </w:p>
              </w:tc>
            </w:tr>
            <w:tr w:rsidR="00004DB5" w:rsidRPr="00C32875" w14:paraId="2DA82769" w14:textId="77777777" w:rsidTr="0057721A">
              <w:tc>
                <w:tcPr>
                  <w:tcW w:w="3337" w:type="dxa"/>
                </w:tcPr>
                <w:p w14:paraId="7164E226" w14:textId="77777777" w:rsidR="00004DB5" w:rsidRPr="000F7425" w:rsidRDefault="00004DB5" w:rsidP="00004DB5">
                  <w:pPr>
                    <w:spacing w:line="276" w:lineRule="auto"/>
                    <w:rPr>
                      <w:rFonts w:cstheme="minorHAnsi"/>
                    </w:rPr>
                  </w:pPr>
                  <w:r w:rsidRPr="000F7425">
                    <w:rPr>
                      <w:rFonts w:cstheme="minorHAnsi"/>
                    </w:rPr>
                    <w:t>Stricter ID Creation Data Validation</w:t>
                  </w:r>
                </w:p>
              </w:tc>
              <w:tc>
                <w:tcPr>
                  <w:tcW w:w="589" w:type="dxa"/>
                </w:tcPr>
                <w:p w14:paraId="4644BC0C" w14:textId="77777777" w:rsidR="00004DB5" w:rsidRPr="000F7425" w:rsidRDefault="00004DB5" w:rsidP="00004DB5">
                  <w:pPr>
                    <w:spacing w:line="276" w:lineRule="auto"/>
                    <w:jc w:val="center"/>
                    <w:rPr>
                      <w:rFonts w:cstheme="minorHAnsi"/>
                    </w:rPr>
                  </w:pPr>
                </w:p>
              </w:tc>
              <w:tc>
                <w:tcPr>
                  <w:tcW w:w="429" w:type="dxa"/>
                </w:tcPr>
                <w:p w14:paraId="55EEF618" w14:textId="77777777" w:rsidR="00004DB5" w:rsidRPr="000F7425" w:rsidRDefault="00004DB5" w:rsidP="00004DB5">
                  <w:pPr>
                    <w:spacing w:line="276" w:lineRule="auto"/>
                    <w:jc w:val="center"/>
                    <w:rPr>
                      <w:rFonts w:cstheme="minorHAnsi"/>
                    </w:rPr>
                  </w:pPr>
                </w:p>
              </w:tc>
              <w:tc>
                <w:tcPr>
                  <w:tcW w:w="431" w:type="dxa"/>
                </w:tcPr>
                <w:p w14:paraId="4B63D979" w14:textId="77777777" w:rsidR="00004DB5" w:rsidRPr="000F7425" w:rsidRDefault="00004DB5" w:rsidP="00004DB5">
                  <w:pPr>
                    <w:spacing w:line="276" w:lineRule="auto"/>
                    <w:jc w:val="center"/>
                    <w:rPr>
                      <w:rFonts w:cstheme="minorHAnsi"/>
                    </w:rPr>
                  </w:pPr>
                </w:p>
              </w:tc>
              <w:tc>
                <w:tcPr>
                  <w:tcW w:w="430" w:type="dxa"/>
                </w:tcPr>
                <w:p w14:paraId="509AE03B" w14:textId="77777777" w:rsidR="00004DB5" w:rsidRPr="000F7425" w:rsidRDefault="00004DB5" w:rsidP="00004DB5">
                  <w:pPr>
                    <w:spacing w:line="276" w:lineRule="auto"/>
                    <w:jc w:val="center"/>
                    <w:rPr>
                      <w:rFonts w:cstheme="minorHAnsi"/>
                    </w:rPr>
                  </w:pPr>
                </w:p>
              </w:tc>
              <w:tc>
                <w:tcPr>
                  <w:tcW w:w="431" w:type="dxa"/>
                </w:tcPr>
                <w:p w14:paraId="60991923" w14:textId="77777777" w:rsidR="00004DB5" w:rsidRPr="000F7425" w:rsidRDefault="00004DB5" w:rsidP="00004DB5">
                  <w:pPr>
                    <w:spacing w:line="276" w:lineRule="auto"/>
                    <w:jc w:val="center"/>
                    <w:rPr>
                      <w:rFonts w:cstheme="minorHAnsi"/>
                    </w:rPr>
                  </w:pPr>
                </w:p>
              </w:tc>
              <w:tc>
                <w:tcPr>
                  <w:tcW w:w="431" w:type="dxa"/>
                </w:tcPr>
                <w:p w14:paraId="6C664E85" w14:textId="77777777" w:rsidR="00004DB5" w:rsidRPr="000F7425" w:rsidRDefault="00004DB5" w:rsidP="00004DB5">
                  <w:pPr>
                    <w:spacing w:line="276" w:lineRule="auto"/>
                    <w:jc w:val="center"/>
                    <w:rPr>
                      <w:rFonts w:cstheme="minorHAnsi"/>
                    </w:rPr>
                  </w:pPr>
                </w:p>
              </w:tc>
              <w:tc>
                <w:tcPr>
                  <w:tcW w:w="2139" w:type="dxa"/>
                </w:tcPr>
                <w:p w14:paraId="2BDF395B" w14:textId="77777777" w:rsidR="00004DB5" w:rsidRPr="000F7425" w:rsidRDefault="00004DB5" w:rsidP="00004DB5">
                  <w:pPr>
                    <w:spacing w:line="276" w:lineRule="auto"/>
                    <w:rPr>
                      <w:rFonts w:cstheme="minorHAnsi"/>
                    </w:rPr>
                  </w:pPr>
                </w:p>
              </w:tc>
            </w:tr>
            <w:tr w:rsidR="00004DB5" w:rsidRPr="00C32875" w14:paraId="020D6F6D" w14:textId="77777777" w:rsidTr="0057721A">
              <w:tc>
                <w:tcPr>
                  <w:tcW w:w="3337" w:type="dxa"/>
                </w:tcPr>
                <w:p w14:paraId="26FCA856" w14:textId="77777777" w:rsidR="00004DB5" w:rsidRPr="000F7425" w:rsidRDefault="00004DB5" w:rsidP="00004DB5">
                  <w:pPr>
                    <w:spacing w:line="276" w:lineRule="auto"/>
                    <w:rPr>
                      <w:rFonts w:cstheme="minorHAnsi"/>
                    </w:rPr>
                  </w:pPr>
                  <w:r w:rsidRPr="000F7425">
                    <w:rPr>
                      <w:rFonts w:cstheme="minorHAnsi"/>
                    </w:rPr>
                    <w:t>Automated Ref Rate Mapping</w:t>
                  </w:r>
                </w:p>
              </w:tc>
              <w:tc>
                <w:tcPr>
                  <w:tcW w:w="589" w:type="dxa"/>
                </w:tcPr>
                <w:p w14:paraId="45D29FC4" w14:textId="77777777" w:rsidR="00004DB5" w:rsidRPr="000F7425" w:rsidRDefault="00004DB5" w:rsidP="00004DB5">
                  <w:pPr>
                    <w:spacing w:line="276" w:lineRule="auto"/>
                    <w:jc w:val="center"/>
                    <w:rPr>
                      <w:rFonts w:cstheme="minorHAnsi"/>
                    </w:rPr>
                  </w:pPr>
                </w:p>
              </w:tc>
              <w:tc>
                <w:tcPr>
                  <w:tcW w:w="429" w:type="dxa"/>
                </w:tcPr>
                <w:p w14:paraId="3C4808B5" w14:textId="77777777" w:rsidR="00004DB5" w:rsidRPr="000F7425" w:rsidRDefault="00004DB5" w:rsidP="00004DB5">
                  <w:pPr>
                    <w:spacing w:line="276" w:lineRule="auto"/>
                    <w:jc w:val="center"/>
                    <w:rPr>
                      <w:rFonts w:cstheme="minorHAnsi"/>
                    </w:rPr>
                  </w:pPr>
                </w:p>
              </w:tc>
              <w:tc>
                <w:tcPr>
                  <w:tcW w:w="431" w:type="dxa"/>
                </w:tcPr>
                <w:p w14:paraId="3282CDD0" w14:textId="77777777" w:rsidR="00004DB5" w:rsidRPr="000F7425" w:rsidRDefault="00004DB5" w:rsidP="00004DB5">
                  <w:pPr>
                    <w:spacing w:line="276" w:lineRule="auto"/>
                    <w:jc w:val="center"/>
                    <w:rPr>
                      <w:rFonts w:cstheme="minorHAnsi"/>
                    </w:rPr>
                  </w:pPr>
                </w:p>
              </w:tc>
              <w:tc>
                <w:tcPr>
                  <w:tcW w:w="430" w:type="dxa"/>
                </w:tcPr>
                <w:p w14:paraId="5F1E7808" w14:textId="77777777" w:rsidR="00004DB5" w:rsidRPr="000F7425" w:rsidRDefault="00004DB5" w:rsidP="00004DB5">
                  <w:pPr>
                    <w:spacing w:line="276" w:lineRule="auto"/>
                    <w:jc w:val="center"/>
                    <w:rPr>
                      <w:rFonts w:cstheme="minorHAnsi"/>
                    </w:rPr>
                  </w:pPr>
                </w:p>
              </w:tc>
              <w:tc>
                <w:tcPr>
                  <w:tcW w:w="431" w:type="dxa"/>
                </w:tcPr>
                <w:p w14:paraId="2EEFB215" w14:textId="77777777" w:rsidR="00004DB5" w:rsidRPr="000F7425" w:rsidRDefault="00004DB5" w:rsidP="00004DB5">
                  <w:pPr>
                    <w:spacing w:line="276" w:lineRule="auto"/>
                    <w:jc w:val="center"/>
                    <w:rPr>
                      <w:rFonts w:cstheme="minorHAnsi"/>
                    </w:rPr>
                  </w:pPr>
                </w:p>
              </w:tc>
              <w:tc>
                <w:tcPr>
                  <w:tcW w:w="431" w:type="dxa"/>
                </w:tcPr>
                <w:p w14:paraId="3C8FAE0A" w14:textId="77777777" w:rsidR="00004DB5" w:rsidRPr="000F7425" w:rsidRDefault="00004DB5" w:rsidP="00004DB5">
                  <w:pPr>
                    <w:spacing w:line="276" w:lineRule="auto"/>
                    <w:jc w:val="center"/>
                    <w:rPr>
                      <w:rFonts w:cstheme="minorHAnsi"/>
                    </w:rPr>
                  </w:pPr>
                </w:p>
              </w:tc>
              <w:tc>
                <w:tcPr>
                  <w:tcW w:w="2139" w:type="dxa"/>
                </w:tcPr>
                <w:p w14:paraId="6F148A60" w14:textId="77777777" w:rsidR="00004DB5" w:rsidRPr="000F7425" w:rsidRDefault="00004DB5" w:rsidP="00004DB5">
                  <w:pPr>
                    <w:spacing w:line="276" w:lineRule="auto"/>
                    <w:rPr>
                      <w:rFonts w:cstheme="minorHAnsi"/>
                    </w:rPr>
                  </w:pPr>
                </w:p>
              </w:tc>
            </w:tr>
          </w:tbl>
          <w:p w14:paraId="0B3A5696" w14:textId="77777777"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004DB5" w:rsidRPr="00551628" w14:paraId="1194EB69" w14:textId="77777777" w:rsidTr="00BC639C">
        <w:tc>
          <w:tcPr>
            <w:cnfStyle w:val="001000000000" w:firstRow="0" w:lastRow="0" w:firstColumn="1" w:lastColumn="0" w:oddVBand="0" w:evenVBand="0" w:oddHBand="0" w:evenHBand="0" w:firstRowFirstColumn="0" w:firstRowLastColumn="0" w:lastRowFirstColumn="0" w:lastRowLastColumn="0"/>
            <w:tcW w:w="1236" w:type="dxa"/>
            <w:gridSpan w:val="3"/>
            <w:vAlign w:val="center"/>
          </w:tcPr>
          <w:p w14:paraId="045F1920" w14:textId="18C65A15" w:rsidR="00004DB5" w:rsidRPr="00551628" w:rsidRDefault="00004DB5" w:rsidP="00004DB5">
            <w:pPr>
              <w:spacing w:after="120" w:line="276" w:lineRule="auto"/>
            </w:pPr>
            <w:r>
              <w:t>6.2</w:t>
            </w:r>
          </w:p>
        </w:tc>
        <w:tc>
          <w:tcPr>
            <w:tcW w:w="4288" w:type="dxa"/>
            <w:gridSpan w:val="2"/>
            <w:vAlign w:val="center"/>
          </w:tcPr>
          <w:p w14:paraId="4F538650" w14:textId="7ECCE482" w:rsidR="00004DB5" w:rsidRPr="00551628"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r w:rsidRPr="00221487">
              <w:t>What other operational enhancements would you like to see the DSB make?</w:t>
            </w:r>
          </w:p>
        </w:tc>
        <w:tc>
          <w:tcPr>
            <w:tcW w:w="4394" w:type="dxa"/>
            <w:vAlign w:val="center"/>
          </w:tcPr>
          <w:p w14:paraId="525492EA" w14:textId="77777777" w:rsidR="00004DB5" w:rsidRPr="00551628"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p>
        </w:tc>
      </w:tr>
      <w:tr w:rsidR="00004DB5" w:rsidRPr="00551628" w14:paraId="6A3B0FAF" w14:textId="77777777" w:rsidTr="00BC6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gridSpan w:val="3"/>
            <w:vAlign w:val="center"/>
          </w:tcPr>
          <w:p w14:paraId="40CBE208" w14:textId="687838BB" w:rsidR="00004DB5" w:rsidRPr="00551628" w:rsidRDefault="00004DB5" w:rsidP="00004DB5">
            <w:pPr>
              <w:spacing w:after="120" w:line="276" w:lineRule="auto"/>
            </w:pPr>
            <w:r>
              <w:lastRenderedPageBreak/>
              <w:t>6.3</w:t>
            </w:r>
          </w:p>
        </w:tc>
        <w:tc>
          <w:tcPr>
            <w:tcW w:w="4288" w:type="dxa"/>
            <w:gridSpan w:val="2"/>
            <w:vAlign w:val="center"/>
          </w:tcPr>
          <w:p w14:paraId="68AB124A" w14:textId="156754FA"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r w:rsidRPr="00221487">
              <w:t>What additional services would you like to see the DSB provide? Please provide examples or business cases where relevant.</w:t>
            </w:r>
          </w:p>
        </w:tc>
        <w:tc>
          <w:tcPr>
            <w:tcW w:w="4394" w:type="dxa"/>
            <w:vAlign w:val="center"/>
          </w:tcPr>
          <w:p w14:paraId="05E9825E" w14:textId="77777777"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p>
        </w:tc>
      </w:tr>
      <w:tr w:rsidR="00004DB5" w:rsidRPr="00551628" w14:paraId="084797B9" w14:textId="77777777" w:rsidTr="00BC639C">
        <w:trPr>
          <w:trHeight w:val="1906"/>
        </w:trPr>
        <w:tc>
          <w:tcPr>
            <w:cnfStyle w:val="001000000000" w:firstRow="0" w:lastRow="0" w:firstColumn="1" w:lastColumn="0" w:oddVBand="0" w:evenVBand="0" w:oddHBand="0" w:evenHBand="0" w:firstRowFirstColumn="0" w:firstRowLastColumn="0" w:lastRowFirstColumn="0" w:lastRowLastColumn="0"/>
            <w:tcW w:w="1236" w:type="dxa"/>
            <w:gridSpan w:val="3"/>
            <w:vAlign w:val="center"/>
          </w:tcPr>
          <w:p w14:paraId="7E801DE4" w14:textId="03E6DD8E" w:rsidR="00004DB5" w:rsidRPr="00551628" w:rsidRDefault="00004DB5" w:rsidP="00004DB5">
            <w:pPr>
              <w:spacing w:after="120" w:line="276" w:lineRule="auto"/>
            </w:pPr>
            <w:r>
              <w:t>6.4</w:t>
            </w:r>
          </w:p>
        </w:tc>
        <w:tc>
          <w:tcPr>
            <w:tcW w:w="4288" w:type="dxa"/>
            <w:gridSpan w:val="2"/>
            <w:vAlign w:val="center"/>
          </w:tcPr>
          <w:p w14:paraId="1407BE86" w14:textId="7C70AF04" w:rsidR="00004DB5" w:rsidRPr="00551628"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r w:rsidRPr="00221487">
              <w:t>What are the top three changes you would like to see the DSB make to better serve your institution’s needs (including any that may have been listed above)? Listed in order of preference.</w:t>
            </w:r>
          </w:p>
        </w:tc>
        <w:tc>
          <w:tcPr>
            <w:tcW w:w="4394" w:type="dxa"/>
            <w:vAlign w:val="center"/>
          </w:tcPr>
          <w:p w14:paraId="01859BCD" w14:textId="77777777" w:rsidR="00004DB5"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r>
              <w:t>1.</w:t>
            </w:r>
          </w:p>
          <w:p w14:paraId="69D08D7F" w14:textId="77777777" w:rsidR="00004DB5"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r>
              <w:t>2.</w:t>
            </w:r>
          </w:p>
          <w:p w14:paraId="0824D68D" w14:textId="34CFEE92" w:rsidR="00004DB5" w:rsidRPr="00551628" w:rsidRDefault="00004DB5" w:rsidP="00004DB5">
            <w:pPr>
              <w:spacing w:after="120" w:line="276" w:lineRule="auto"/>
              <w:cnfStyle w:val="000000000000" w:firstRow="0" w:lastRow="0" w:firstColumn="0" w:lastColumn="0" w:oddVBand="0" w:evenVBand="0" w:oddHBand="0" w:evenHBand="0" w:firstRowFirstColumn="0" w:firstRowLastColumn="0" w:lastRowFirstColumn="0" w:lastRowLastColumn="0"/>
            </w:pPr>
            <w:r>
              <w:t xml:space="preserve">3. </w:t>
            </w:r>
          </w:p>
        </w:tc>
      </w:tr>
      <w:tr w:rsidR="00004DB5" w:rsidRPr="00551628" w14:paraId="120904D7" w14:textId="77777777" w:rsidTr="00BC639C">
        <w:trPr>
          <w:cnfStyle w:val="000000100000" w:firstRow="0" w:lastRow="0" w:firstColumn="0" w:lastColumn="0" w:oddVBand="0" w:evenVBand="0" w:oddHBand="1" w:evenHBand="0" w:firstRowFirstColumn="0" w:firstRowLastColumn="0" w:lastRowFirstColumn="0" w:lastRowLastColumn="0"/>
          <w:trHeight w:val="2915"/>
        </w:trPr>
        <w:tc>
          <w:tcPr>
            <w:cnfStyle w:val="001000000000" w:firstRow="0" w:lastRow="0" w:firstColumn="1" w:lastColumn="0" w:oddVBand="0" w:evenVBand="0" w:oddHBand="0" w:evenHBand="0" w:firstRowFirstColumn="0" w:firstRowLastColumn="0" w:lastRowFirstColumn="0" w:lastRowLastColumn="0"/>
            <w:tcW w:w="1236" w:type="dxa"/>
            <w:gridSpan w:val="3"/>
          </w:tcPr>
          <w:p w14:paraId="6E4E6CED" w14:textId="77777777" w:rsidR="00004DB5" w:rsidRDefault="00004DB5" w:rsidP="00004DB5">
            <w:pPr>
              <w:spacing w:after="120" w:line="276" w:lineRule="auto"/>
              <w:rPr>
                <w:b w:val="0"/>
                <w:bCs w:val="0"/>
              </w:rPr>
            </w:pPr>
          </w:p>
          <w:p w14:paraId="21B57FF8" w14:textId="62E10A21" w:rsidR="00004DB5" w:rsidRPr="00551628" w:rsidRDefault="00004DB5" w:rsidP="00004DB5">
            <w:pPr>
              <w:spacing w:after="120" w:line="276" w:lineRule="auto"/>
            </w:pPr>
            <w:r>
              <w:t>6.5</w:t>
            </w:r>
          </w:p>
        </w:tc>
        <w:tc>
          <w:tcPr>
            <w:tcW w:w="4288" w:type="dxa"/>
            <w:gridSpan w:val="2"/>
          </w:tcPr>
          <w:p w14:paraId="78F179F8" w14:textId="77777777" w:rsidR="00004DB5"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p>
          <w:p w14:paraId="4AFB0524" w14:textId="1359D949"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r>
              <w:t>Please insert any other comments you wish to provide</w:t>
            </w:r>
          </w:p>
        </w:tc>
        <w:tc>
          <w:tcPr>
            <w:tcW w:w="4394" w:type="dxa"/>
            <w:vAlign w:val="center"/>
          </w:tcPr>
          <w:p w14:paraId="1B010AD3" w14:textId="77777777" w:rsidR="00004DB5" w:rsidRPr="00551628" w:rsidRDefault="00004DB5" w:rsidP="00004DB5">
            <w:pPr>
              <w:spacing w:after="120" w:line="276" w:lineRule="auto"/>
              <w:cnfStyle w:val="000000100000" w:firstRow="0" w:lastRow="0" w:firstColumn="0" w:lastColumn="0" w:oddVBand="0" w:evenVBand="0" w:oddHBand="1" w:evenHBand="0" w:firstRowFirstColumn="0" w:firstRowLastColumn="0" w:lastRowFirstColumn="0" w:lastRowLastColumn="0"/>
            </w:pPr>
          </w:p>
        </w:tc>
      </w:tr>
    </w:tbl>
    <w:p w14:paraId="1B059027" w14:textId="5CCF29D1" w:rsidR="00F647E0" w:rsidRDefault="00F647E0" w:rsidP="001A3FBD">
      <w:pPr>
        <w:spacing w:before="0" w:line="276" w:lineRule="auto"/>
      </w:pPr>
    </w:p>
    <w:p w14:paraId="29C02987" w14:textId="4C05ED25" w:rsidR="001A4164" w:rsidRDefault="001A4164" w:rsidP="001A3FBD">
      <w:pPr>
        <w:spacing w:before="0" w:line="276" w:lineRule="auto"/>
      </w:pPr>
    </w:p>
    <w:p w14:paraId="1A677AC3" w14:textId="77777777" w:rsidR="001A4164" w:rsidRDefault="001A4164" w:rsidP="001A3FBD">
      <w:pPr>
        <w:spacing w:before="0" w:line="276" w:lineRule="auto"/>
      </w:pPr>
    </w:p>
    <w:p w14:paraId="58EDD4AB" w14:textId="77777777" w:rsidR="00480B3C" w:rsidRDefault="00480B3C" w:rsidP="001B06D9"/>
    <w:p w14:paraId="38B57480" w14:textId="77777777" w:rsidR="00C82EE9" w:rsidRPr="00C82EE9" w:rsidRDefault="00C82EE9" w:rsidP="00C82EE9"/>
    <w:sectPr w:rsidR="00C82EE9" w:rsidRPr="00C82EE9" w:rsidSect="00723D67">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67AF" w14:textId="77777777" w:rsidR="003218B7" w:rsidRDefault="003218B7" w:rsidP="009F04A7">
      <w:r>
        <w:separator/>
      </w:r>
    </w:p>
  </w:endnote>
  <w:endnote w:type="continuationSeparator" w:id="0">
    <w:p w14:paraId="4861941A" w14:textId="77777777" w:rsidR="003218B7" w:rsidRDefault="003218B7" w:rsidP="009F04A7">
      <w:r>
        <w:continuationSeparator/>
      </w:r>
    </w:p>
  </w:endnote>
  <w:endnote w:type="continuationNotice" w:id="1">
    <w:p w14:paraId="370F3D34" w14:textId="77777777" w:rsidR="003218B7" w:rsidRDefault="003218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ud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59786332"/>
      <w:docPartObj>
        <w:docPartGallery w:val="Page Numbers (Bottom of Page)"/>
        <w:docPartUnique/>
      </w:docPartObj>
    </w:sdtPr>
    <w:sdtEndPr/>
    <w:sdtContent>
      <w:sdt>
        <w:sdtPr>
          <w:id w:val="-259992521"/>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800417197"/>
                  <w:docPartObj>
                    <w:docPartGallery w:val="Page Numbers (Bottom of Page)"/>
                    <w:docPartUnique/>
                  </w:docPartObj>
                </w:sdtPr>
                <w:sdtEndPr/>
                <w:sdtContent>
                  <w:p w14:paraId="49520FBB" w14:textId="77777777" w:rsidR="00004DB5" w:rsidRDefault="00004DB5" w:rsidP="00B27ADD">
                    <w:pPr>
                      <w:pStyle w:val="Footer"/>
                    </w:pPr>
                  </w:p>
                  <w:sdt>
                    <w:sdtPr>
                      <w:id w:val="1650316862"/>
                      <w:docPartObj>
                        <w:docPartGallery w:val="Page Numbers (Top of Page)"/>
                        <w:docPartUnique/>
                      </w:docPartObj>
                    </w:sdtPr>
                    <w:sdtEndPr/>
                    <w:sdtContent>
                      <w:p w14:paraId="2CB07B0A" w14:textId="3BE7DE90" w:rsidR="00004DB5" w:rsidRDefault="00004DB5" w:rsidP="00B27ADD">
                        <w:pPr>
                          <w:pStyle w:val="Footer"/>
                          <w:rPr>
                            <w:sz w:val="18"/>
                          </w:rPr>
                        </w:pPr>
                        <w:r>
                          <w:rPr>
                            <w:sz w:val="18"/>
                          </w:rPr>
                          <w:t>© Derivatives Service Bureau 2019</w:t>
                        </w:r>
                      </w:p>
                      <w:p w14:paraId="28D3BC47" w14:textId="57661936" w:rsidR="00004DB5" w:rsidRPr="00B27ADD" w:rsidRDefault="00004DB5" w:rsidP="00B27ADD">
                        <w:pPr>
                          <w:pStyle w:val="Footer"/>
                        </w:pPr>
                        <w:r>
                          <w:rPr>
                            <w:sz w:val="18"/>
                          </w:rPr>
                          <w:t>Consultation Paper 1 – response deadline is 5pm UTC on Wednesday 5</w:t>
                        </w:r>
                        <w:r w:rsidRPr="00563AC6">
                          <w:rPr>
                            <w:sz w:val="18"/>
                            <w:vertAlign w:val="superscript"/>
                          </w:rPr>
                          <w:t>th</w:t>
                        </w:r>
                        <w:r>
                          <w:rPr>
                            <w:sz w:val="18"/>
                          </w:rPr>
                          <w:t xml:space="preserve"> June 2019 </w:t>
                        </w:r>
                        <w:r>
                          <w:rPr>
                            <w:sz w:val="18"/>
                          </w:rPr>
                          <w:tab/>
                          <w:t>P</w:t>
                        </w:r>
                        <w:r>
                          <w:t xml:space="preserve">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sdtContent>
          </w:sdt>
        </w:sdtContent>
      </w:sdt>
      <w:p w14:paraId="1BA82C39" w14:textId="69719BDE" w:rsidR="00004DB5" w:rsidRPr="009F04A7" w:rsidRDefault="003218B7">
        <w:pPr>
          <w:pStyle w:val="Footer"/>
          <w:jc w:val="right"/>
          <w:rPr>
            <w:sz w:val="18"/>
          </w:rPr>
        </w:pPr>
      </w:p>
    </w:sdtContent>
  </w:sdt>
  <w:p w14:paraId="0F40545F" w14:textId="77777777" w:rsidR="00004DB5" w:rsidRDefault="0000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4A76" w14:textId="1EEC0E20" w:rsidR="00004DB5" w:rsidRDefault="00004DB5" w:rsidP="00F26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B53D" w14:textId="77777777" w:rsidR="003218B7" w:rsidRDefault="003218B7" w:rsidP="009F04A7">
      <w:r>
        <w:separator/>
      </w:r>
    </w:p>
  </w:footnote>
  <w:footnote w:type="continuationSeparator" w:id="0">
    <w:p w14:paraId="3B500506" w14:textId="77777777" w:rsidR="003218B7" w:rsidRDefault="003218B7" w:rsidP="009F04A7">
      <w:r>
        <w:continuationSeparator/>
      </w:r>
    </w:p>
  </w:footnote>
  <w:footnote w:type="continuationNotice" w:id="1">
    <w:p w14:paraId="5A02DF22" w14:textId="77777777" w:rsidR="003218B7" w:rsidRDefault="003218B7">
      <w:pPr>
        <w:spacing w:before="0" w:line="240" w:lineRule="auto"/>
      </w:pPr>
    </w:p>
  </w:footnote>
  <w:footnote w:id="2">
    <w:p w14:paraId="09D79234" w14:textId="77777777" w:rsidR="00004DB5" w:rsidRPr="00AC626A" w:rsidRDefault="00004DB5" w:rsidP="00632165">
      <w:pPr>
        <w:pStyle w:val="FootnoteText"/>
        <w:rPr>
          <w:lang w:val="en-GB"/>
        </w:rPr>
      </w:pPr>
      <w:r>
        <w:rPr>
          <w:rStyle w:val="FootnoteReference"/>
        </w:rPr>
        <w:footnoteRef/>
      </w:r>
      <w:r>
        <w:t xml:space="preserve"> </w:t>
      </w:r>
      <w:r>
        <w:rPr>
          <w:lang w:val="en-GB"/>
        </w:rPr>
        <w:t xml:space="preserve">Q1 2019 data </w:t>
      </w:r>
      <w:hyperlink r:id="rId1" w:history="1">
        <w:r w:rsidRPr="00AC626A">
          <w:rPr>
            <w:rStyle w:val="Hyperlink"/>
            <w:lang w:val="en-GB"/>
          </w:rPr>
          <w:t>published here</w:t>
        </w:r>
      </w:hyperlink>
      <w:r>
        <w:rPr>
          <w:lang w:val="en-GB"/>
        </w:rPr>
        <w:t xml:space="preserve"> </w:t>
      </w:r>
    </w:p>
  </w:footnote>
  <w:footnote w:id="3">
    <w:p w14:paraId="103BC7AA" w14:textId="36127151" w:rsidR="00004DB5" w:rsidRPr="00AC626A" w:rsidRDefault="00004DB5">
      <w:pPr>
        <w:pStyle w:val="FootnoteText"/>
        <w:rPr>
          <w:lang w:val="en-GB"/>
        </w:rPr>
      </w:pPr>
      <w:r>
        <w:rPr>
          <w:rStyle w:val="FootnoteReference"/>
        </w:rPr>
        <w:footnoteRef/>
      </w:r>
      <w:r>
        <w:t xml:space="preserve"> </w:t>
      </w:r>
      <w:r>
        <w:rPr>
          <w:lang w:val="en-GB"/>
        </w:rPr>
        <w:t xml:space="preserve">DSB Q1 19 metrics </w:t>
      </w:r>
      <w:hyperlink r:id="rId2" w:history="1">
        <w:r w:rsidRPr="00B27DA1">
          <w:rPr>
            <w:rStyle w:val="Hyperlink"/>
            <w:lang w:val="en-GB"/>
          </w:rPr>
          <w:t>published here</w:t>
        </w:r>
      </w:hyperlink>
      <w:r>
        <w:rPr>
          <w:lang w:val="en-GB"/>
        </w:rPr>
        <w:t xml:space="preserve"> </w:t>
      </w:r>
    </w:p>
  </w:footnote>
  <w:footnote w:id="4">
    <w:p w14:paraId="7CA0E1D1" w14:textId="77777777" w:rsidR="00004DB5" w:rsidRPr="00CE714F" w:rsidRDefault="00004DB5">
      <w:pPr>
        <w:pStyle w:val="FootnoteText"/>
        <w:rPr>
          <w:lang w:val="en-GB"/>
        </w:rPr>
      </w:pPr>
      <w:r>
        <w:rPr>
          <w:rStyle w:val="FootnoteReference"/>
        </w:rPr>
        <w:footnoteRef/>
      </w:r>
      <w:r>
        <w:t xml:space="preserve"> </w:t>
      </w:r>
      <w:hyperlink r:id="rId3" w:anchor="Consultation2" w:history="1">
        <w:r>
          <w:rPr>
            <w:rStyle w:val="Hyperlink"/>
          </w:rPr>
          <w:t>https://www.anna-dsb.com/2019-user-fee-and-user-agreement-consultations/#Consultation2</w:t>
        </w:r>
      </w:hyperlink>
    </w:p>
  </w:footnote>
  <w:footnote w:id="5">
    <w:p w14:paraId="430411FA" w14:textId="77777777" w:rsidR="00004DB5" w:rsidRPr="00CE714F" w:rsidRDefault="00004DB5">
      <w:pPr>
        <w:pStyle w:val="FootnoteText"/>
        <w:rPr>
          <w:lang w:val="en-GB"/>
        </w:rPr>
      </w:pPr>
      <w:r>
        <w:rPr>
          <w:rStyle w:val="FootnoteReference"/>
        </w:rPr>
        <w:footnoteRef/>
      </w:r>
      <w:r>
        <w:t xml:space="preserve"> </w:t>
      </w:r>
      <w:hyperlink r:id="rId4" w:history="1">
        <w:r>
          <w:rPr>
            <w:rStyle w:val="Hyperlink"/>
          </w:rPr>
          <w:t>https://www.anna-dsb.com/download/20190313-dsb-tac-report-member-final-01/</w:t>
        </w:r>
      </w:hyperlink>
    </w:p>
  </w:footnote>
  <w:footnote w:id="6">
    <w:p w14:paraId="0E3271D3" w14:textId="77777777" w:rsidR="00004DB5" w:rsidRPr="00CE714F" w:rsidRDefault="00004DB5">
      <w:pPr>
        <w:pStyle w:val="FootnoteText"/>
        <w:rPr>
          <w:lang w:val="en-GB"/>
        </w:rPr>
      </w:pPr>
      <w:r>
        <w:rPr>
          <w:rStyle w:val="FootnoteReference"/>
        </w:rPr>
        <w:footnoteRef/>
      </w:r>
      <w:r>
        <w:t xml:space="preserve"> </w:t>
      </w:r>
      <w:hyperlink r:id="rId5" w:history="1">
        <w:r>
          <w:rPr>
            <w:rStyle w:val="Hyperlink"/>
          </w:rPr>
          <w:t>https://www.anna-dsb.com/download/dsb-tac-meeting-minutes-13th-march-2019/</w:t>
        </w:r>
      </w:hyperlink>
    </w:p>
  </w:footnote>
  <w:footnote w:id="7">
    <w:p w14:paraId="0DFF22C2" w14:textId="77777777" w:rsidR="00004DB5" w:rsidRPr="00CE714F" w:rsidRDefault="00004DB5">
      <w:pPr>
        <w:pStyle w:val="FootnoteText"/>
        <w:rPr>
          <w:lang w:val="en-GB"/>
        </w:rPr>
      </w:pPr>
      <w:r>
        <w:rPr>
          <w:rStyle w:val="FootnoteReference"/>
        </w:rPr>
        <w:footnoteRef/>
      </w:r>
      <w:r>
        <w:t xml:space="preserve"> </w:t>
      </w:r>
      <w:hyperlink r:id="rId6" w:history="1">
        <w:r>
          <w:rPr>
            <w:rStyle w:val="Hyperlink"/>
          </w:rPr>
          <w:t>https://www.nist.gov/itl/tig/back-basics-multi-factor-authentication</w:t>
        </w:r>
      </w:hyperlink>
    </w:p>
  </w:footnote>
  <w:footnote w:id="8">
    <w:p w14:paraId="4B853BA9" w14:textId="77777777" w:rsidR="00004DB5" w:rsidRPr="002C6ECA" w:rsidRDefault="00004DB5">
      <w:pPr>
        <w:pStyle w:val="FootnoteText"/>
        <w:rPr>
          <w:lang w:val="en-GB"/>
        </w:rPr>
      </w:pPr>
      <w:r>
        <w:rPr>
          <w:rStyle w:val="FootnoteReference"/>
        </w:rPr>
        <w:footnoteRef/>
      </w:r>
      <w:r>
        <w:t xml:space="preserve"> </w:t>
      </w:r>
      <w:hyperlink r:id="rId7" w:history="1">
        <w:r>
          <w:rPr>
            <w:rStyle w:val="Hyperlink"/>
          </w:rPr>
          <w:t>https://nvlpubs.nist.gov/nistpubs/Legacy/SP/nistspecialpublication800-64r2.pdf</w:t>
        </w:r>
      </w:hyperlink>
    </w:p>
  </w:footnote>
  <w:footnote w:id="9">
    <w:p w14:paraId="33971D9A" w14:textId="77777777" w:rsidR="00004DB5" w:rsidRPr="008E3B71" w:rsidRDefault="00004DB5">
      <w:pPr>
        <w:pStyle w:val="FootnoteText"/>
        <w:rPr>
          <w:lang w:val="en-GB"/>
        </w:rPr>
      </w:pPr>
      <w:r>
        <w:rPr>
          <w:rStyle w:val="FootnoteReference"/>
        </w:rPr>
        <w:footnoteRef/>
      </w:r>
      <w:r>
        <w:t xml:space="preserve"> </w:t>
      </w:r>
      <w:hyperlink r:id="rId8" w:anchor="iso:std:iso-iec:27001:ed-2:v1:en" w:history="1">
        <w:r>
          <w:rPr>
            <w:rStyle w:val="Hyperlink"/>
          </w:rPr>
          <w:t>https://www.iso.org/obp/ui/#iso:std:iso-iec:27001:ed-2:v1:en</w:t>
        </w:r>
      </w:hyperlink>
    </w:p>
  </w:footnote>
  <w:footnote w:id="10">
    <w:p w14:paraId="475763D4" w14:textId="77777777" w:rsidR="00004DB5" w:rsidRPr="000926F1" w:rsidRDefault="00004DB5">
      <w:pPr>
        <w:pStyle w:val="FootnoteText"/>
        <w:rPr>
          <w:lang w:val="en-GB"/>
        </w:rPr>
      </w:pPr>
      <w:r>
        <w:rPr>
          <w:rStyle w:val="FootnoteReference"/>
        </w:rPr>
        <w:footnoteRef/>
      </w:r>
      <w:r>
        <w:t xml:space="preserve"> </w:t>
      </w:r>
      <w:hyperlink r:id="rId9" w:anchor="iso:std:iso-iec:27002:ed-2:v1:en" w:history="1">
        <w:r>
          <w:rPr>
            <w:rStyle w:val="Hyperlink"/>
          </w:rPr>
          <w:t>https://www.iso.org/obp/ui/#iso:std:iso-iec:27002:ed-2:v1:en</w:t>
        </w:r>
      </w:hyperlink>
    </w:p>
  </w:footnote>
  <w:footnote w:id="11">
    <w:p w14:paraId="23FCDDBE" w14:textId="77777777" w:rsidR="00004DB5" w:rsidRPr="000926F1" w:rsidRDefault="00004DB5">
      <w:pPr>
        <w:pStyle w:val="FootnoteText"/>
        <w:rPr>
          <w:lang w:val="en-GB"/>
        </w:rPr>
      </w:pPr>
      <w:r>
        <w:rPr>
          <w:rStyle w:val="FootnoteReference"/>
        </w:rPr>
        <w:footnoteRef/>
      </w:r>
      <w:r>
        <w:t xml:space="preserve"> </w:t>
      </w:r>
      <w:hyperlink r:id="rId10" w:anchor="iso:std:iso-iec:27018:ed-2:v1:en" w:history="1">
        <w:r>
          <w:rPr>
            <w:rStyle w:val="Hyperlink"/>
          </w:rPr>
          <w:t>https://www.iso.org/obp/ui/#iso:std:iso-iec:27018:ed-2:v1:en</w:t>
        </w:r>
      </w:hyperlink>
    </w:p>
  </w:footnote>
  <w:footnote w:id="12">
    <w:p w14:paraId="1D663B3F" w14:textId="77777777" w:rsidR="00004DB5" w:rsidRPr="00DA1B6A" w:rsidRDefault="00004DB5">
      <w:pPr>
        <w:pStyle w:val="FootnoteText"/>
        <w:rPr>
          <w:lang w:val="en-GB"/>
        </w:rPr>
      </w:pPr>
      <w:r>
        <w:rPr>
          <w:rStyle w:val="FootnoteReference"/>
        </w:rPr>
        <w:footnoteRef/>
      </w:r>
      <w:r>
        <w:t xml:space="preserve"> </w:t>
      </w:r>
      <w:hyperlink r:id="rId11" w:history="1">
        <w:r>
          <w:rPr>
            <w:rStyle w:val="Hyperlink"/>
          </w:rPr>
          <w:t>http://www.fsb.org/wp-content/uploads/P131017-2.pdf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ECB"/>
    <w:multiLevelType w:val="hybridMultilevel"/>
    <w:tmpl w:val="87DC6E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B16ED"/>
    <w:multiLevelType w:val="hybridMultilevel"/>
    <w:tmpl w:val="3C72731C"/>
    <w:lvl w:ilvl="0" w:tplc="7E54F07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D6834"/>
    <w:multiLevelType w:val="multilevel"/>
    <w:tmpl w:val="BABA2C3E"/>
    <w:lvl w:ilvl="0">
      <w:start w:val="1"/>
      <w:numFmt w:val="lowerRoman"/>
      <w:lvlText w:val="%1."/>
      <w:lvlJc w:val="right"/>
      <w:pPr>
        <w:tabs>
          <w:tab w:val="num" w:pos="2160"/>
        </w:tabs>
        <w:ind w:left="2160" w:hanging="360"/>
      </w:pPr>
    </w:lvl>
    <w:lvl w:ilvl="1">
      <w:start w:val="1"/>
      <w:numFmt w:val="lowerRoman"/>
      <w:lvlText w:val="%2."/>
      <w:lvlJc w:val="right"/>
      <w:pPr>
        <w:tabs>
          <w:tab w:val="num" w:pos="2880"/>
        </w:tabs>
        <w:ind w:left="2880" w:hanging="360"/>
      </w:pPr>
    </w:lvl>
    <w:lvl w:ilvl="2">
      <w:start w:val="1"/>
      <w:numFmt w:val="lowerRoman"/>
      <w:lvlText w:val="%3."/>
      <w:lvlJc w:val="right"/>
      <w:pPr>
        <w:tabs>
          <w:tab w:val="num" w:pos="3600"/>
        </w:tabs>
        <w:ind w:left="3600" w:hanging="360"/>
      </w:pPr>
    </w:lvl>
    <w:lvl w:ilvl="3">
      <w:start w:val="1"/>
      <w:numFmt w:val="lowerRoman"/>
      <w:lvlText w:val="%4."/>
      <w:lvlJc w:val="right"/>
      <w:pPr>
        <w:tabs>
          <w:tab w:val="num" w:pos="4320"/>
        </w:tabs>
        <w:ind w:left="4320" w:hanging="360"/>
      </w:pPr>
    </w:lvl>
    <w:lvl w:ilvl="4">
      <w:start w:val="1"/>
      <w:numFmt w:val="lowerRoman"/>
      <w:lvlText w:val="%5."/>
      <w:lvlJc w:val="right"/>
      <w:pPr>
        <w:tabs>
          <w:tab w:val="num" w:pos="5040"/>
        </w:tabs>
        <w:ind w:left="5040" w:hanging="360"/>
      </w:pPr>
    </w:lvl>
    <w:lvl w:ilvl="5">
      <w:start w:val="1"/>
      <w:numFmt w:val="lowerRoman"/>
      <w:lvlText w:val="%6."/>
      <w:lvlJc w:val="right"/>
      <w:pPr>
        <w:tabs>
          <w:tab w:val="num" w:pos="5760"/>
        </w:tabs>
        <w:ind w:left="5760" w:hanging="360"/>
      </w:pPr>
    </w:lvl>
    <w:lvl w:ilvl="6">
      <w:start w:val="1"/>
      <w:numFmt w:val="lowerRoman"/>
      <w:lvlText w:val="%7."/>
      <w:lvlJc w:val="right"/>
      <w:pPr>
        <w:tabs>
          <w:tab w:val="num" w:pos="6480"/>
        </w:tabs>
        <w:ind w:left="6480" w:hanging="360"/>
      </w:pPr>
    </w:lvl>
    <w:lvl w:ilvl="7">
      <w:start w:val="1"/>
      <w:numFmt w:val="lowerRoman"/>
      <w:lvlText w:val="%8."/>
      <w:lvlJc w:val="right"/>
      <w:pPr>
        <w:tabs>
          <w:tab w:val="num" w:pos="7200"/>
        </w:tabs>
        <w:ind w:left="7200" w:hanging="360"/>
      </w:pPr>
    </w:lvl>
    <w:lvl w:ilvl="8">
      <w:start w:val="1"/>
      <w:numFmt w:val="lowerRoman"/>
      <w:lvlText w:val="%9."/>
      <w:lvlJc w:val="right"/>
      <w:pPr>
        <w:tabs>
          <w:tab w:val="num" w:pos="7920"/>
        </w:tabs>
        <w:ind w:left="7920" w:hanging="360"/>
      </w:pPr>
    </w:lvl>
  </w:abstractNum>
  <w:abstractNum w:abstractNumId="3" w15:restartNumberingAfterBreak="0">
    <w:nsid w:val="079A43AD"/>
    <w:multiLevelType w:val="hybridMultilevel"/>
    <w:tmpl w:val="9FC6F7EE"/>
    <w:lvl w:ilvl="0" w:tplc="87D46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A6AB8"/>
    <w:multiLevelType w:val="hybridMultilevel"/>
    <w:tmpl w:val="E490E6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85081"/>
    <w:multiLevelType w:val="multilevel"/>
    <w:tmpl w:val="4B6868A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15755FAA"/>
    <w:multiLevelType w:val="hybridMultilevel"/>
    <w:tmpl w:val="6F767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845A5F"/>
    <w:multiLevelType w:val="multilevel"/>
    <w:tmpl w:val="792E7A5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194E0993"/>
    <w:multiLevelType w:val="multilevel"/>
    <w:tmpl w:val="095C71D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6731A"/>
    <w:multiLevelType w:val="hybridMultilevel"/>
    <w:tmpl w:val="89340E4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E227E"/>
    <w:multiLevelType w:val="multilevel"/>
    <w:tmpl w:val="FE54711C"/>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12" w15:restartNumberingAfterBreak="0">
    <w:nsid w:val="2B93635B"/>
    <w:multiLevelType w:val="hybridMultilevel"/>
    <w:tmpl w:val="235CCC5C"/>
    <w:lvl w:ilvl="0" w:tplc="C8841D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917667"/>
    <w:multiLevelType w:val="multilevel"/>
    <w:tmpl w:val="3E6E87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963409"/>
    <w:multiLevelType w:val="multilevel"/>
    <w:tmpl w:val="D9E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315EA"/>
    <w:multiLevelType w:val="hybridMultilevel"/>
    <w:tmpl w:val="5F4A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CB6D71"/>
    <w:multiLevelType w:val="hybridMultilevel"/>
    <w:tmpl w:val="AF48DE3C"/>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08B1"/>
    <w:multiLevelType w:val="multilevel"/>
    <w:tmpl w:val="187A8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FA111B"/>
    <w:multiLevelType w:val="hybridMultilevel"/>
    <w:tmpl w:val="516E78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2408D9"/>
    <w:multiLevelType w:val="multilevel"/>
    <w:tmpl w:val="313C5A04"/>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4E845E2E"/>
    <w:multiLevelType w:val="multilevel"/>
    <w:tmpl w:val="C9127336"/>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15:restartNumberingAfterBreak="0">
    <w:nsid w:val="4F182203"/>
    <w:multiLevelType w:val="multilevel"/>
    <w:tmpl w:val="F75870C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 w15:restartNumberingAfterBreak="0">
    <w:nsid w:val="510B51BB"/>
    <w:multiLevelType w:val="multilevel"/>
    <w:tmpl w:val="63623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F550B9"/>
    <w:multiLevelType w:val="hybridMultilevel"/>
    <w:tmpl w:val="516E78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7A5119"/>
    <w:multiLevelType w:val="hybridMultilevel"/>
    <w:tmpl w:val="04A6D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8397E"/>
    <w:multiLevelType w:val="hybridMultilevel"/>
    <w:tmpl w:val="516E78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DF1FA7"/>
    <w:multiLevelType w:val="hybridMultilevel"/>
    <w:tmpl w:val="62F4A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4F731C"/>
    <w:multiLevelType w:val="multilevel"/>
    <w:tmpl w:val="2C12053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 w:hanging="720"/>
      </w:pPr>
    </w:lvl>
    <w:lvl w:ilvl="3">
      <w:start w:val="1"/>
      <w:numFmt w:val="decimal"/>
      <w:pStyle w:val="Heading4"/>
      <w:lvlText w:val="%1.%2.%3.%4"/>
      <w:lvlJc w:val="left"/>
      <w:pPr>
        <w:ind w:left="-1121" w:hanging="864"/>
      </w:pPr>
    </w:lvl>
    <w:lvl w:ilvl="4">
      <w:start w:val="1"/>
      <w:numFmt w:val="decimal"/>
      <w:pStyle w:val="Heading5"/>
      <w:lvlText w:val="%1.%2.%3.%4.%5"/>
      <w:lvlJc w:val="left"/>
      <w:pPr>
        <w:ind w:left="-977" w:hanging="1008"/>
      </w:pPr>
    </w:lvl>
    <w:lvl w:ilvl="5">
      <w:start w:val="1"/>
      <w:numFmt w:val="decimal"/>
      <w:pStyle w:val="Heading6"/>
      <w:lvlText w:val="%1.%2.%3.%4.%5.%6"/>
      <w:lvlJc w:val="left"/>
      <w:pPr>
        <w:ind w:left="-833" w:hanging="1152"/>
      </w:pPr>
    </w:lvl>
    <w:lvl w:ilvl="6">
      <w:start w:val="1"/>
      <w:numFmt w:val="decimal"/>
      <w:pStyle w:val="Heading7"/>
      <w:lvlText w:val="%1.%2.%3.%4.%5.%6.%7"/>
      <w:lvlJc w:val="left"/>
      <w:pPr>
        <w:ind w:left="-689" w:hanging="1296"/>
      </w:pPr>
    </w:lvl>
    <w:lvl w:ilvl="7">
      <w:start w:val="1"/>
      <w:numFmt w:val="decimal"/>
      <w:pStyle w:val="Heading8"/>
      <w:lvlText w:val="%1.%2.%3.%4.%5.%6.%7.%8"/>
      <w:lvlJc w:val="left"/>
      <w:pPr>
        <w:ind w:left="-545" w:hanging="1440"/>
      </w:pPr>
    </w:lvl>
    <w:lvl w:ilvl="8">
      <w:start w:val="1"/>
      <w:numFmt w:val="decimal"/>
      <w:pStyle w:val="Heading9"/>
      <w:lvlText w:val="%1.%2.%3.%4.%5.%6.%7.%8.%9"/>
      <w:lvlJc w:val="left"/>
      <w:pPr>
        <w:ind w:left="-401" w:hanging="1584"/>
      </w:pPr>
    </w:lvl>
  </w:abstractNum>
  <w:abstractNum w:abstractNumId="28" w15:restartNumberingAfterBreak="0">
    <w:nsid w:val="60683DB5"/>
    <w:multiLevelType w:val="hybridMultilevel"/>
    <w:tmpl w:val="08A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24CCE"/>
    <w:multiLevelType w:val="hybridMultilevel"/>
    <w:tmpl w:val="74C88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30" w15:restartNumberingAfterBreak="0">
    <w:nsid w:val="6A2B408E"/>
    <w:multiLevelType w:val="hybridMultilevel"/>
    <w:tmpl w:val="6F7EA0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94784C"/>
    <w:multiLevelType w:val="multilevel"/>
    <w:tmpl w:val="8BCEC156"/>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32" w15:restartNumberingAfterBreak="0">
    <w:nsid w:val="6F8C1914"/>
    <w:multiLevelType w:val="hybridMultilevel"/>
    <w:tmpl w:val="B4C44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7575B7"/>
    <w:multiLevelType w:val="hybridMultilevel"/>
    <w:tmpl w:val="62F4A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5B67A3"/>
    <w:multiLevelType w:val="hybridMultilevel"/>
    <w:tmpl w:val="516E78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0C5291"/>
    <w:multiLevelType w:val="hybridMultilevel"/>
    <w:tmpl w:val="D8FAA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5"/>
  </w:num>
  <w:num w:numId="6">
    <w:abstractNumId w:val="18"/>
  </w:num>
  <w:num w:numId="7">
    <w:abstractNumId w:val="15"/>
  </w:num>
  <w:num w:numId="8">
    <w:abstractNumId w:val="0"/>
  </w:num>
  <w:num w:numId="9">
    <w:abstractNumId w:val="4"/>
  </w:num>
  <w:num w:numId="10">
    <w:abstractNumId w:val="30"/>
  </w:num>
  <w:num w:numId="11">
    <w:abstractNumId w:val="23"/>
  </w:num>
  <w:num w:numId="12">
    <w:abstractNumId w:val="12"/>
  </w:num>
  <w:num w:numId="13">
    <w:abstractNumId w:val="28"/>
  </w:num>
  <w:num w:numId="14">
    <w:abstractNumId w:val="10"/>
  </w:num>
  <w:num w:numId="15">
    <w:abstractNumId w:val="33"/>
  </w:num>
  <w:num w:numId="16">
    <w:abstractNumId w:val="26"/>
  </w:num>
  <w:num w:numId="17">
    <w:abstractNumId w:val="9"/>
  </w:num>
  <w:num w:numId="18">
    <w:abstractNumId w:val="24"/>
  </w:num>
  <w:num w:numId="19">
    <w:abstractNumId w:val="27"/>
  </w:num>
  <w:num w:numId="20">
    <w:abstractNumId w:val="27"/>
  </w:num>
  <w:num w:numId="21">
    <w:abstractNumId w:val="27"/>
  </w:num>
  <w:num w:numId="22">
    <w:abstractNumId w:val="27"/>
  </w:num>
  <w:num w:numId="23">
    <w:abstractNumId w:val="29"/>
  </w:num>
  <w:num w:numId="24">
    <w:abstractNumId w:val="6"/>
  </w:num>
  <w:num w:numId="25">
    <w:abstractNumId w:val="27"/>
  </w:num>
  <w:num w:numId="26">
    <w:abstractNumId w:val="27"/>
  </w:num>
  <w:num w:numId="27">
    <w:abstractNumId w:val="27"/>
  </w:num>
  <w:num w:numId="28">
    <w:abstractNumId w:val="27"/>
  </w:num>
  <w:num w:numId="29">
    <w:abstractNumId w:val="27"/>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7"/>
  </w:num>
  <w:num w:numId="44">
    <w:abstractNumId w:val="16"/>
  </w:num>
  <w:num w:numId="45">
    <w:abstractNumId w:val="3"/>
  </w:num>
  <w:num w:numId="46">
    <w:abstractNumId w:val="32"/>
  </w:num>
  <w:num w:numId="47">
    <w:abstractNumId w:val="14"/>
  </w:num>
  <w:num w:numId="48">
    <w:abstractNumId w:val="1"/>
  </w:num>
  <w:num w:numId="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82"/>
    <w:rsid w:val="000030C3"/>
    <w:rsid w:val="00004A00"/>
    <w:rsid w:val="00004DB5"/>
    <w:rsid w:val="00010E81"/>
    <w:rsid w:val="00011917"/>
    <w:rsid w:val="00011EBE"/>
    <w:rsid w:val="000124A8"/>
    <w:rsid w:val="0001262F"/>
    <w:rsid w:val="00012CF7"/>
    <w:rsid w:val="00013524"/>
    <w:rsid w:val="00013671"/>
    <w:rsid w:val="00013DAA"/>
    <w:rsid w:val="00014033"/>
    <w:rsid w:val="00014D6D"/>
    <w:rsid w:val="00014DDD"/>
    <w:rsid w:val="000214DB"/>
    <w:rsid w:val="000225A3"/>
    <w:rsid w:val="000250A0"/>
    <w:rsid w:val="00025C9C"/>
    <w:rsid w:val="00027487"/>
    <w:rsid w:val="00027874"/>
    <w:rsid w:val="00030360"/>
    <w:rsid w:val="00031850"/>
    <w:rsid w:val="000322DC"/>
    <w:rsid w:val="00032A4C"/>
    <w:rsid w:val="000332F3"/>
    <w:rsid w:val="000356CE"/>
    <w:rsid w:val="00035AAB"/>
    <w:rsid w:val="000361F3"/>
    <w:rsid w:val="00041733"/>
    <w:rsid w:val="00042BFB"/>
    <w:rsid w:val="00044108"/>
    <w:rsid w:val="00050BAC"/>
    <w:rsid w:val="000510EE"/>
    <w:rsid w:val="00052B64"/>
    <w:rsid w:val="000538B4"/>
    <w:rsid w:val="00054132"/>
    <w:rsid w:val="000561B7"/>
    <w:rsid w:val="000562FF"/>
    <w:rsid w:val="000574D8"/>
    <w:rsid w:val="000614AC"/>
    <w:rsid w:val="00065FA6"/>
    <w:rsid w:val="00066358"/>
    <w:rsid w:val="00067101"/>
    <w:rsid w:val="00067B5B"/>
    <w:rsid w:val="00070C65"/>
    <w:rsid w:val="00075B98"/>
    <w:rsid w:val="00075C1C"/>
    <w:rsid w:val="00081214"/>
    <w:rsid w:val="00081A00"/>
    <w:rsid w:val="00082026"/>
    <w:rsid w:val="0008258D"/>
    <w:rsid w:val="0008498C"/>
    <w:rsid w:val="00090C80"/>
    <w:rsid w:val="00092E27"/>
    <w:rsid w:val="00095267"/>
    <w:rsid w:val="00096D47"/>
    <w:rsid w:val="00097036"/>
    <w:rsid w:val="00097202"/>
    <w:rsid w:val="000A0405"/>
    <w:rsid w:val="000A0EB3"/>
    <w:rsid w:val="000A216E"/>
    <w:rsid w:val="000A22AF"/>
    <w:rsid w:val="000A24DB"/>
    <w:rsid w:val="000A30C5"/>
    <w:rsid w:val="000A459A"/>
    <w:rsid w:val="000A5EEC"/>
    <w:rsid w:val="000A658F"/>
    <w:rsid w:val="000A7D5D"/>
    <w:rsid w:val="000B3FD9"/>
    <w:rsid w:val="000B5574"/>
    <w:rsid w:val="000B7158"/>
    <w:rsid w:val="000B7CF5"/>
    <w:rsid w:val="000C193F"/>
    <w:rsid w:val="000C2F1F"/>
    <w:rsid w:val="000C3487"/>
    <w:rsid w:val="000C3656"/>
    <w:rsid w:val="000C4B76"/>
    <w:rsid w:val="000C4C10"/>
    <w:rsid w:val="000C4C70"/>
    <w:rsid w:val="000C60A1"/>
    <w:rsid w:val="000C692F"/>
    <w:rsid w:val="000C74E9"/>
    <w:rsid w:val="000C7A3E"/>
    <w:rsid w:val="000D1542"/>
    <w:rsid w:val="000D1819"/>
    <w:rsid w:val="000D1D72"/>
    <w:rsid w:val="000E0BEF"/>
    <w:rsid w:val="000E3550"/>
    <w:rsid w:val="000E670C"/>
    <w:rsid w:val="000E6800"/>
    <w:rsid w:val="000E7A1C"/>
    <w:rsid w:val="000F1461"/>
    <w:rsid w:val="000F1DA4"/>
    <w:rsid w:val="000F2626"/>
    <w:rsid w:val="000F2A80"/>
    <w:rsid w:val="000F3A96"/>
    <w:rsid w:val="000F4CFB"/>
    <w:rsid w:val="000F50AC"/>
    <w:rsid w:val="000F5CF8"/>
    <w:rsid w:val="0010197A"/>
    <w:rsid w:val="001023F9"/>
    <w:rsid w:val="00102434"/>
    <w:rsid w:val="0010313F"/>
    <w:rsid w:val="00104877"/>
    <w:rsid w:val="001051B1"/>
    <w:rsid w:val="001055F7"/>
    <w:rsid w:val="00105FA1"/>
    <w:rsid w:val="0010626B"/>
    <w:rsid w:val="00107C33"/>
    <w:rsid w:val="00107F1E"/>
    <w:rsid w:val="0011170E"/>
    <w:rsid w:val="00111A93"/>
    <w:rsid w:val="00113400"/>
    <w:rsid w:val="00113DC1"/>
    <w:rsid w:val="00114476"/>
    <w:rsid w:val="001214E4"/>
    <w:rsid w:val="00124CE4"/>
    <w:rsid w:val="00124DF0"/>
    <w:rsid w:val="00124E8C"/>
    <w:rsid w:val="00126C3C"/>
    <w:rsid w:val="0012750C"/>
    <w:rsid w:val="001316D1"/>
    <w:rsid w:val="001336AF"/>
    <w:rsid w:val="001351E5"/>
    <w:rsid w:val="001369DD"/>
    <w:rsid w:val="00140D27"/>
    <w:rsid w:val="0014294F"/>
    <w:rsid w:val="001452D0"/>
    <w:rsid w:val="00151860"/>
    <w:rsid w:val="00151D29"/>
    <w:rsid w:val="00151FFE"/>
    <w:rsid w:val="00154028"/>
    <w:rsid w:val="00156B59"/>
    <w:rsid w:val="00157B05"/>
    <w:rsid w:val="00161834"/>
    <w:rsid w:val="00161DFC"/>
    <w:rsid w:val="00163718"/>
    <w:rsid w:val="00165860"/>
    <w:rsid w:val="00167F77"/>
    <w:rsid w:val="0017129F"/>
    <w:rsid w:val="001712C7"/>
    <w:rsid w:val="001737D8"/>
    <w:rsid w:val="0017406C"/>
    <w:rsid w:val="00175201"/>
    <w:rsid w:val="0017792E"/>
    <w:rsid w:val="001800AA"/>
    <w:rsid w:val="00180727"/>
    <w:rsid w:val="00181375"/>
    <w:rsid w:val="00181970"/>
    <w:rsid w:val="00182996"/>
    <w:rsid w:val="001840A7"/>
    <w:rsid w:val="00184A76"/>
    <w:rsid w:val="00184BF6"/>
    <w:rsid w:val="00186370"/>
    <w:rsid w:val="00186618"/>
    <w:rsid w:val="00190B13"/>
    <w:rsid w:val="00190F4E"/>
    <w:rsid w:val="00192CD1"/>
    <w:rsid w:val="001959DC"/>
    <w:rsid w:val="00196206"/>
    <w:rsid w:val="001972FA"/>
    <w:rsid w:val="001A3FBD"/>
    <w:rsid w:val="001A4164"/>
    <w:rsid w:val="001A581B"/>
    <w:rsid w:val="001A7508"/>
    <w:rsid w:val="001B06D9"/>
    <w:rsid w:val="001B241F"/>
    <w:rsid w:val="001B4A23"/>
    <w:rsid w:val="001B4D2C"/>
    <w:rsid w:val="001B52A6"/>
    <w:rsid w:val="001C0CB0"/>
    <w:rsid w:val="001C1906"/>
    <w:rsid w:val="001C4C20"/>
    <w:rsid w:val="001C6C7A"/>
    <w:rsid w:val="001C72EE"/>
    <w:rsid w:val="001D1351"/>
    <w:rsid w:val="001D16EB"/>
    <w:rsid w:val="001D3290"/>
    <w:rsid w:val="001D5165"/>
    <w:rsid w:val="001D537F"/>
    <w:rsid w:val="001D6638"/>
    <w:rsid w:val="001D74BC"/>
    <w:rsid w:val="001D7566"/>
    <w:rsid w:val="001E1170"/>
    <w:rsid w:val="001E2287"/>
    <w:rsid w:val="001E4104"/>
    <w:rsid w:val="001E6515"/>
    <w:rsid w:val="001E7488"/>
    <w:rsid w:val="001F1C62"/>
    <w:rsid w:val="001F2861"/>
    <w:rsid w:val="001F292D"/>
    <w:rsid w:val="001F45C2"/>
    <w:rsid w:val="002010D3"/>
    <w:rsid w:val="00202A25"/>
    <w:rsid w:val="002046FA"/>
    <w:rsid w:val="00205B2C"/>
    <w:rsid w:val="00210CEE"/>
    <w:rsid w:val="002131CF"/>
    <w:rsid w:val="00213268"/>
    <w:rsid w:val="00213F56"/>
    <w:rsid w:val="002141E5"/>
    <w:rsid w:val="00214EE0"/>
    <w:rsid w:val="002153B5"/>
    <w:rsid w:val="00215561"/>
    <w:rsid w:val="0021643E"/>
    <w:rsid w:val="002170B1"/>
    <w:rsid w:val="00217EBB"/>
    <w:rsid w:val="00221246"/>
    <w:rsid w:val="002215C9"/>
    <w:rsid w:val="00224163"/>
    <w:rsid w:val="00226194"/>
    <w:rsid w:val="00230360"/>
    <w:rsid w:val="002322E8"/>
    <w:rsid w:val="00235262"/>
    <w:rsid w:val="00235F28"/>
    <w:rsid w:val="002365F6"/>
    <w:rsid w:val="00236861"/>
    <w:rsid w:val="002416E7"/>
    <w:rsid w:val="00243C37"/>
    <w:rsid w:val="002460A0"/>
    <w:rsid w:val="00247F80"/>
    <w:rsid w:val="0025145E"/>
    <w:rsid w:val="00252DDE"/>
    <w:rsid w:val="00255B98"/>
    <w:rsid w:val="00256277"/>
    <w:rsid w:val="0025793A"/>
    <w:rsid w:val="0026075C"/>
    <w:rsid w:val="0026119A"/>
    <w:rsid w:val="00261654"/>
    <w:rsid w:val="002657EA"/>
    <w:rsid w:val="0026618E"/>
    <w:rsid w:val="00271300"/>
    <w:rsid w:val="0027451A"/>
    <w:rsid w:val="00274CAC"/>
    <w:rsid w:val="00276173"/>
    <w:rsid w:val="00276804"/>
    <w:rsid w:val="00277760"/>
    <w:rsid w:val="0028318F"/>
    <w:rsid w:val="00284E4F"/>
    <w:rsid w:val="002850D4"/>
    <w:rsid w:val="00285A20"/>
    <w:rsid w:val="00286406"/>
    <w:rsid w:val="0029114D"/>
    <w:rsid w:val="00293711"/>
    <w:rsid w:val="00293FF1"/>
    <w:rsid w:val="00295A28"/>
    <w:rsid w:val="00295CA3"/>
    <w:rsid w:val="00296864"/>
    <w:rsid w:val="00296F9D"/>
    <w:rsid w:val="002A1856"/>
    <w:rsid w:val="002A18A2"/>
    <w:rsid w:val="002A2496"/>
    <w:rsid w:val="002A24BE"/>
    <w:rsid w:val="002A5602"/>
    <w:rsid w:val="002A7839"/>
    <w:rsid w:val="002A7EA9"/>
    <w:rsid w:val="002B3A68"/>
    <w:rsid w:val="002B6654"/>
    <w:rsid w:val="002B696B"/>
    <w:rsid w:val="002B776F"/>
    <w:rsid w:val="002C0FAD"/>
    <w:rsid w:val="002C26AF"/>
    <w:rsid w:val="002C30F6"/>
    <w:rsid w:val="002C32D6"/>
    <w:rsid w:val="002C3484"/>
    <w:rsid w:val="002C79E2"/>
    <w:rsid w:val="002D1D75"/>
    <w:rsid w:val="002D3501"/>
    <w:rsid w:val="002D5E02"/>
    <w:rsid w:val="002D743B"/>
    <w:rsid w:val="002D7FEC"/>
    <w:rsid w:val="002E0E4A"/>
    <w:rsid w:val="002E1A6D"/>
    <w:rsid w:val="002E2DD2"/>
    <w:rsid w:val="002E3805"/>
    <w:rsid w:val="002E38F6"/>
    <w:rsid w:val="002E593C"/>
    <w:rsid w:val="002E7D36"/>
    <w:rsid w:val="002F08B2"/>
    <w:rsid w:val="002F500B"/>
    <w:rsid w:val="002F61CE"/>
    <w:rsid w:val="002F7527"/>
    <w:rsid w:val="002F7760"/>
    <w:rsid w:val="00301815"/>
    <w:rsid w:val="003055A6"/>
    <w:rsid w:val="00306150"/>
    <w:rsid w:val="00306D90"/>
    <w:rsid w:val="003125BE"/>
    <w:rsid w:val="00312EC5"/>
    <w:rsid w:val="0031467D"/>
    <w:rsid w:val="00316552"/>
    <w:rsid w:val="003207F5"/>
    <w:rsid w:val="00320E6B"/>
    <w:rsid w:val="003216AC"/>
    <w:rsid w:val="003218B7"/>
    <w:rsid w:val="00321F21"/>
    <w:rsid w:val="003248FB"/>
    <w:rsid w:val="003260A8"/>
    <w:rsid w:val="003276BB"/>
    <w:rsid w:val="00327BCC"/>
    <w:rsid w:val="003306E5"/>
    <w:rsid w:val="003331D6"/>
    <w:rsid w:val="00336493"/>
    <w:rsid w:val="003400FB"/>
    <w:rsid w:val="00340DFB"/>
    <w:rsid w:val="00343C9A"/>
    <w:rsid w:val="0034447E"/>
    <w:rsid w:val="003458E5"/>
    <w:rsid w:val="0034652D"/>
    <w:rsid w:val="00346FFB"/>
    <w:rsid w:val="00347617"/>
    <w:rsid w:val="003519E1"/>
    <w:rsid w:val="0035344C"/>
    <w:rsid w:val="0035452B"/>
    <w:rsid w:val="003562DA"/>
    <w:rsid w:val="00356D4B"/>
    <w:rsid w:val="0036019B"/>
    <w:rsid w:val="00361988"/>
    <w:rsid w:val="00361A39"/>
    <w:rsid w:val="003645C0"/>
    <w:rsid w:val="00367388"/>
    <w:rsid w:val="00367AB1"/>
    <w:rsid w:val="00367BA9"/>
    <w:rsid w:val="00372AC3"/>
    <w:rsid w:val="0037334C"/>
    <w:rsid w:val="00373638"/>
    <w:rsid w:val="003757A2"/>
    <w:rsid w:val="00375AB3"/>
    <w:rsid w:val="00375F05"/>
    <w:rsid w:val="00381532"/>
    <w:rsid w:val="00381D38"/>
    <w:rsid w:val="0038371F"/>
    <w:rsid w:val="00385AC4"/>
    <w:rsid w:val="00385CD7"/>
    <w:rsid w:val="00390EB0"/>
    <w:rsid w:val="00391E96"/>
    <w:rsid w:val="0039315E"/>
    <w:rsid w:val="0039700A"/>
    <w:rsid w:val="003A0689"/>
    <w:rsid w:val="003A1574"/>
    <w:rsid w:val="003A2E26"/>
    <w:rsid w:val="003A312A"/>
    <w:rsid w:val="003A4048"/>
    <w:rsid w:val="003A494F"/>
    <w:rsid w:val="003A733B"/>
    <w:rsid w:val="003B0F23"/>
    <w:rsid w:val="003B19C0"/>
    <w:rsid w:val="003B1A48"/>
    <w:rsid w:val="003B22A7"/>
    <w:rsid w:val="003B4196"/>
    <w:rsid w:val="003B45D9"/>
    <w:rsid w:val="003B4BF4"/>
    <w:rsid w:val="003B6189"/>
    <w:rsid w:val="003B7FD3"/>
    <w:rsid w:val="003C4B50"/>
    <w:rsid w:val="003C748E"/>
    <w:rsid w:val="003D3BF5"/>
    <w:rsid w:val="003D4B12"/>
    <w:rsid w:val="003D4B7E"/>
    <w:rsid w:val="003D75B1"/>
    <w:rsid w:val="003D7F2E"/>
    <w:rsid w:val="003E04B0"/>
    <w:rsid w:val="003E0621"/>
    <w:rsid w:val="003E1395"/>
    <w:rsid w:val="003E7FAC"/>
    <w:rsid w:val="003F0ADD"/>
    <w:rsid w:val="003F1044"/>
    <w:rsid w:val="003F69D9"/>
    <w:rsid w:val="003F6E0B"/>
    <w:rsid w:val="003F7FAB"/>
    <w:rsid w:val="00402110"/>
    <w:rsid w:val="0040348F"/>
    <w:rsid w:val="00403883"/>
    <w:rsid w:val="004043C8"/>
    <w:rsid w:val="0040466A"/>
    <w:rsid w:val="004046D1"/>
    <w:rsid w:val="0040652E"/>
    <w:rsid w:val="00407ADF"/>
    <w:rsid w:val="00412992"/>
    <w:rsid w:val="004135DF"/>
    <w:rsid w:val="0041427C"/>
    <w:rsid w:val="0041683B"/>
    <w:rsid w:val="004201E5"/>
    <w:rsid w:val="00422092"/>
    <w:rsid w:val="00422EBA"/>
    <w:rsid w:val="0042336E"/>
    <w:rsid w:val="00426B34"/>
    <w:rsid w:val="004310C5"/>
    <w:rsid w:val="00431485"/>
    <w:rsid w:val="0044027F"/>
    <w:rsid w:val="00444812"/>
    <w:rsid w:val="00444926"/>
    <w:rsid w:val="004462CF"/>
    <w:rsid w:val="0044710E"/>
    <w:rsid w:val="0045034B"/>
    <w:rsid w:val="0045086C"/>
    <w:rsid w:val="00455612"/>
    <w:rsid w:val="004572C1"/>
    <w:rsid w:val="00460188"/>
    <w:rsid w:val="00461D88"/>
    <w:rsid w:val="00461E4C"/>
    <w:rsid w:val="00465AD7"/>
    <w:rsid w:val="004676C9"/>
    <w:rsid w:val="00467F48"/>
    <w:rsid w:val="00471BA4"/>
    <w:rsid w:val="00473DDA"/>
    <w:rsid w:val="0047696D"/>
    <w:rsid w:val="00477005"/>
    <w:rsid w:val="004771EC"/>
    <w:rsid w:val="00480B3C"/>
    <w:rsid w:val="004832F7"/>
    <w:rsid w:val="00483D38"/>
    <w:rsid w:val="00486370"/>
    <w:rsid w:val="00486436"/>
    <w:rsid w:val="0048673E"/>
    <w:rsid w:val="00487204"/>
    <w:rsid w:val="004900FF"/>
    <w:rsid w:val="00490C29"/>
    <w:rsid w:val="00490EFC"/>
    <w:rsid w:val="00492E31"/>
    <w:rsid w:val="004933E8"/>
    <w:rsid w:val="00493D0D"/>
    <w:rsid w:val="00495B75"/>
    <w:rsid w:val="004961C1"/>
    <w:rsid w:val="004965E9"/>
    <w:rsid w:val="004A18C6"/>
    <w:rsid w:val="004A1C40"/>
    <w:rsid w:val="004A31BF"/>
    <w:rsid w:val="004A401C"/>
    <w:rsid w:val="004A5F58"/>
    <w:rsid w:val="004A7719"/>
    <w:rsid w:val="004A7CC9"/>
    <w:rsid w:val="004B1E67"/>
    <w:rsid w:val="004B2F70"/>
    <w:rsid w:val="004C1059"/>
    <w:rsid w:val="004C36A9"/>
    <w:rsid w:val="004C4E09"/>
    <w:rsid w:val="004C513C"/>
    <w:rsid w:val="004C7E2B"/>
    <w:rsid w:val="004D1223"/>
    <w:rsid w:val="004D212F"/>
    <w:rsid w:val="004D2543"/>
    <w:rsid w:val="004D2A25"/>
    <w:rsid w:val="004D316D"/>
    <w:rsid w:val="004D446C"/>
    <w:rsid w:val="004D47D0"/>
    <w:rsid w:val="004D5934"/>
    <w:rsid w:val="004D6849"/>
    <w:rsid w:val="004D7068"/>
    <w:rsid w:val="004E068B"/>
    <w:rsid w:val="004E08A9"/>
    <w:rsid w:val="004E0B81"/>
    <w:rsid w:val="004E262C"/>
    <w:rsid w:val="004E3170"/>
    <w:rsid w:val="004E555F"/>
    <w:rsid w:val="004E6B51"/>
    <w:rsid w:val="004F28A9"/>
    <w:rsid w:val="004F310D"/>
    <w:rsid w:val="004F61E7"/>
    <w:rsid w:val="004F717B"/>
    <w:rsid w:val="00504454"/>
    <w:rsid w:val="005118A9"/>
    <w:rsid w:val="005142D9"/>
    <w:rsid w:val="00514606"/>
    <w:rsid w:val="005163AB"/>
    <w:rsid w:val="00526691"/>
    <w:rsid w:val="00527196"/>
    <w:rsid w:val="0053157E"/>
    <w:rsid w:val="00532AE1"/>
    <w:rsid w:val="005339B0"/>
    <w:rsid w:val="005347AC"/>
    <w:rsid w:val="00534936"/>
    <w:rsid w:val="00534C80"/>
    <w:rsid w:val="005354C2"/>
    <w:rsid w:val="00536668"/>
    <w:rsid w:val="00536DF7"/>
    <w:rsid w:val="005379F7"/>
    <w:rsid w:val="00540F88"/>
    <w:rsid w:val="00541292"/>
    <w:rsid w:val="005415B4"/>
    <w:rsid w:val="005416F0"/>
    <w:rsid w:val="005419DE"/>
    <w:rsid w:val="00541B9C"/>
    <w:rsid w:val="00541CEA"/>
    <w:rsid w:val="005468CE"/>
    <w:rsid w:val="0054743A"/>
    <w:rsid w:val="00551628"/>
    <w:rsid w:val="00553F95"/>
    <w:rsid w:val="00555751"/>
    <w:rsid w:val="00556CEF"/>
    <w:rsid w:val="00557853"/>
    <w:rsid w:val="00557ACC"/>
    <w:rsid w:val="00557F3C"/>
    <w:rsid w:val="00560E48"/>
    <w:rsid w:val="005625E0"/>
    <w:rsid w:val="00562934"/>
    <w:rsid w:val="00562ED1"/>
    <w:rsid w:val="0056558E"/>
    <w:rsid w:val="00566186"/>
    <w:rsid w:val="005679D8"/>
    <w:rsid w:val="00567B37"/>
    <w:rsid w:val="005709FF"/>
    <w:rsid w:val="005719D9"/>
    <w:rsid w:val="0057384E"/>
    <w:rsid w:val="00574EF8"/>
    <w:rsid w:val="0057721A"/>
    <w:rsid w:val="00577B46"/>
    <w:rsid w:val="00577B47"/>
    <w:rsid w:val="005816AD"/>
    <w:rsid w:val="00581785"/>
    <w:rsid w:val="005817ED"/>
    <w:rsid w:val="005824CB"/>
    <w:rsid w:val="0058423B"/>
    <w:rsid w:val="005876BF"/>
    <w:rsid w:val="00590B9A"/>
    <w:rsid w:val="00591579"/>
    <w:rsid w:val="00591DDF"/>
    <w:rsid w:val="00593630"/>
    <w:rsid w:val="005941A5"/>
    <w:rsid w:val="00597849"/>
    <w:rsid w:val="005978F6"/>
    <w:rsid w:val="005A09C0"/>
    <w:rsid w:val="005A122A"/>
    <w:rsid w:val="005A19A8"/>
    <w:rsid w:val="005A2F9C"/>
    <w:rsid w:val="005A42E0"/>
    <w:rsid w:val="005A75CE"/>
    <w:rsid w:val="005B0812"/>
    <w:rsid w:val="005B2413"/>
    <w:rsid w:val="005B24D6"/>
    <w:rsid w:val="005B2BE7"/>
    <w:rsid w:val="005B35C4"/>
    <w:rsid w:val="005B3B5C"/>
    <w:rsid w:val="005B4848"/>
    <w:rsid w:val="005B6672"/>
    <w:rsid w:val="005B6CC2"/>
    <w:rsid w:val="005C04A0"/>
    <w:rsid w:val="005C3CDC"/>
    <w:rsid w:val="005C4702"/>
    <w:rsid w:val="005C5D67"/>
    <w:rsid w:val="005C726B"/>
    <w:rsid w:val="005D1134"/>
    <w:rsid w:val="005D1C09"/>
    <w:rsid w:val="005D272F"/>
    <w:rsid w:val="005D5349"/>
    <w:rsid w:val="005D6F50"/>
    <w:rsid w:val="005D77A8"/>
    <w:rsid w:val="005E1076"/>
    <w:rsid w:val="005E1544"/>
    <w:rsid w:val="005E562A"/>
    <w:rsid w:val="005E6498"/>
    <w:rsid w:val="005E6871"/>
    <w:rsid w:val="005F1CB7"/>
    <w:rsid w:val="005F2199"/>
    <w:rsid w:val="005F2E28"/>
    <w:rsid w:val="005F36A5"/>
    <w:rsid w:val="005F44C7"/>
    <w:rsid w:val="005F6F7C"/>
    <w:rsid w:val="005F726D"/>
    <w:rsid w:val="005F7939"/>
    <w:rsid w:val="00600E1F"/>
    <w:rsid w:val="00601E12"/>
    <w:rsid w:val="00601EC1"/>
    <w:rsid w:val="00602468"/>
    <w:rsid w:val="0060379D"/>
    <w:rsid w:val="00604528"/>
    <w:rsid w:val="0060473D"/>
    <w:rsid w:val="00607D79"/>
    <w:rsid w:val="00607E20"/>
    <w:rsid w:val="0061106E"/>
    <w:rsid w:val="00611E3E"/>
    <w:rsid w:val="006126F4"/>
    <w:rsid w:val="006233A3"/>
    <w:rsid w:val="006311C5"/>
    <w:rsid w:val="00631A23"/>
    <w:rsid w:val="00632101"/>
    <w:rsid w:val="00632165"/>
    <w:rsid w:val="006352CF"/>
    <w:rsid w:val="00635EDA"/>
    <w:rsid w:val="0063677E"/>
    <w:rsid w:val="0064026B"/>
    <w:rsid w:val="006407FB"/>
    <w:rsid w:val="006409AF"/>
    <w:rsid w:val="00641DB9"/>
    <w:rsid w:val="00642601"/>
    <w:rsid w:val="00642831"/>
    <w:rsid w:val="00642F92"/>
    <w:rsid w:val="00643299"/>
    <w:rsid w:val="00643FC3"/>
    <w:rsid w:val="00645EDD"/>
    <w:rsid w:val="006467BD"/>
    <w:rsid w:val="006536CB"/>
    <w:rsid w:val="0065449E"/>
    <w:rsid w:val="00655DDC"/>
    <w:rsid w:val="00664B73"/>
    <w:rsid w:val="00664D8C"/>
    <w:rsid w:val="0067417E"/>
    <w:rsid w:val="00674AB1"/>
    <w:rsid w:val="006755F7"/>
    <w:rsid w:val="006760D6"/>
    <w:rsid w:val="00676106"/>
    <w:rsid w:val="00677F3B"/>
    <w:rsid w:val="00681568"/>
    <w:rsid w:val="006822DE"/>
    <w:rsid w:val="006824C4"/>
    <w:rsid w:val="006849B4"/>
    <w:rsid w:val="0068598D"/>
    <w:rsid w:val="0068620B"/>
    <w:rsid w:val="00686D75"/>
    <w:rsid w:val="00691696"/>
    <w:rsid w:val="00691A23"/>
    <w:rsid w:val="00693C7E"/>
    <w:rsid w:val="00694DC1"/>
    <w:rsid w:val="0069728C"/>
    <w:rsid w:val="006A3AD8"/>
    <w:rsid w:val="006A4E7A"/>
    <w:rsid w:val="006A57A5"/>
    <w:rsid w:val="006A6A27"/>
    <w:rsid w:val="006B0E99"/>
    <w:rsid w:val="006B1D4A"/>
    <w:rsid w:val="006B3B9E"/>
    <w:rsid w:val="006B4688"/>
    <w:rsid w:val="006B66C2"/>
    <w:rsid w:val="006C0B1E"/>
    <w:rsid w:val="006C0B5D"/>
    <w:rsid w:val="006C0BE4"/>
    <w:rsid w:val="006C1317"/>
    <w:rsid w:val="006C1840"/>
    <w:rsid w:val="006C1EBB"/>
    <w:rsid w:val="006C2D1A"/>
    <w:rsid w:val="006C35CC"/>
    <w:rsid w:val="006C5B52"/>
    <w:rsid w:val="006D03AE"/>
    <w:rsid w:val="006D09A1"/>
    <w:rsid w:val="006D2A86"/>
    <w:rsid w:val="006D50FE"/>
    <w:rsid w:val="006D6A0D"/>
    <w:rsid w:val="006D6A94"/>
    <w:rsid w:val="006D6B38"/>
    <w:rsid w:val="006D7C6A"/>
    <w:rsid w:val="006E01AB"/>
    <w:rsid w:val="006E2EC1"/>
    <w:rsid w:val="006E34C1"/>
    <w:rsid w:val="006E3B6A"/>
    <w:rsid w:val="006E409F"/>
    <w:rsid w:val="006E4F96"/>
    <w:rsid w:val="006E5BA5"/>
    <w:rsid w:val="006E5DB4"/>
    <w:rsid w:val="006E6A73"/>
    <w:rsid w:val="006F09FB"/>
    <w:rsid w:val="006F0C33"/>
    <w:rsid w:val="006F2DDE"/>
    <w:rsid w:val="006F32DC"/>
    <w:rsid w:val="006F5F09"/>
    <w:rsid w:val="006F7127"/>
    <w:rsid w:val="007000F9"/>
    <w:rsid w:val="0070544D"/>
    <w:rsid w:val="00706BA4"/>
    <w:rsid w:val="00706E68"/>
    <w:rsid w:val="007071D1"/>
    <w:rsid w:val="0070735F"/>
    <w:rsid w:val="00707787"/>
    <w:rsid w:val="00707BF0"/>
    <w:rsid w:val="007106AA"/>
    <w:rsid w:val="00711719"/>
    <w:rsid w:val="0071204D"/>
    <w:rsid w:val="00712B3C"/>
    <w:rsid w:val="0071330A"/>
    <w:rsid w:val="00713FEC"/>
    <w:rsid w:val="00715396"/>
    <w:rsid w:val="00716024"/>
    <w:rsid w:val="007162F2"/>
    <w:rsid w:val="007167F1"/>
    <w:rsid w:val="0072033D"/>
    <w:rsid w:val="00721A24"/>
    <w:rsid w:val="00722D4D"/>
    <w:rsid w:val="00723D67"/>
    <w:rsid w:val="007328DC"/>
    <w:rsid w:val="0073295C"/>
    <w:rsid w:val="00733311"/>
    <w:rsid w:val="00733612"/>
    <w:rsid w:val="00734A5E"/>
    <w:rsid w:val="00734F22"/>
    <w:rsid w:val="007354AF"/>
    <w:rsid w:val="00737626"/>
    <w:rsid w:val="00741A2D"/>
    <w:rsid w:val="00741CC8"/>
    <w:rsid w:val="00742CAC"/>
    <w:rsid w:val="007439C3"/>
    <w:rsid w:val="0074507E"/>
    <w:rsid w:val="007459C6"/>
    <w:rsid w:val="007475A3"/>
    <w:rsid w:val="00747D3E"/>
    <w:rsid w:val="00757210"/>
    <w:rsid w:val="0075762F"/>
    <w:rsid w:val="007613AC"/>
    <w:rsid w:val="00762C2F"/>
    <w:rsid w:val="00765B6F"/>
    <w:rsid w:val="00765CB3"/>
    <w:rsid w:val="00765FD3"/>
    <w:rsid w:val="00766282"/>
    <w:rsid w:val="00766968"/>
    <w:rsid w:val="00766CC6"/>
    <w:rsid w:val="00770ABF"/>
    <w:rsid w:val="00773D25"/>
    <w:rsid w:val="0077560C"/>
    <w:rsid w:val="00776519"/>
    <w:rsid w:val="00776541"/>
    <w:rsid w:val="007765CD"/>
    <w:rsid w:val="00777C04"/>
    <w:rsid w:val="00777E65"/>
    <w:rsid w:val="00780F60"/>
    <w:rsid w:val="00783792"/>
    <w:rsid w:val="00784407"/>
    <w:rsid w:val="00785453"/>
    <w:rsid w:val="00785DEF"/>
    <w:rsid w:val="0078735D"/>
    <w:rsid w:val="00790184"/>
    <w:rsid w:val="00792A64"/>
    <w:rsid w:val="00793F46"/>
    <w:rsid w:val="007955A5"/>
    <w:rsid w:val="007964B8"/>
    <w:rsid w:val="007973F5"/>
    <w:rsid w:val="00797BB6"/>
    <w:rsid w:val="00797F12"/>
    <w:rsid w:val="007A4F75"/>
    <w:rsid w:val="007A5DC7"/>
    <w:rsid w:val="007A6308"/>
    <w:rsid w:val="007A7968"/>
    <w:rsid w:val="007B089A"/>
    <w:rsid w:val="007B13D5"/>
    <w:rsid w:val="007B15B7"/>
    <w:rsid w:val="007B1901"/>
    <w:rsid w:val="007B230B"/>
    <w:rsid w:val="007B4122"/>
    <w:rsid w:val="007B4989"/>
    <w:rsid w:val="007B4B71"/>
    <w:rsid w:val="007B6AB2"/>
    <w:rsid w:val="007B6CDF"/>
    <w:rsid w:val="007C078E"/>
    <w:rsid w:val="007C08E3"/>
    <w:rsid w:val="007C2546"/>
    <w:rsid w:val="007C26E7"/>
    <w:rsid w:val="007C32DC"/>
    <w:rsid w:val="007D20CE"/>
    <w:rsid w:val="007D2E7E"/>
    <w:rsid w:val="007D5D9D"/>
    <w:rsid w:val="007D650E"/>
    <w:rsid w:val="007E15A3"/>
    <w:rsid w:val="007E188B"/>
    <w:rsid w:val="007E1E90"/>
    <w:rsid w:val="007E4ADE"/>
    <w:rsid w:val="007E7137"/>
    <w:rsid w:val="007F09AB"/>
    <w:rsid w:val="007F15E9"/>
    <w:rsid w:val="007F40B7"/>
    <w:rsid w:val="007F4C24"/>
    <w:rsid w:val="007F5A6B"/>
    <w:rsid w:val="00800C26"/>
    <w:rsid w:val="008023D1"/>
    <w:rsid w:val="0080346A"/>
    <w:rsid w:val="0080452D"/>
    <w:rsid w:val="008050FF"/>
    <w:rsid w:val="00805F0C"/>
    <w:rsid w:val="00806CC3"/>
    <w:rsid w:val="00810C95"/>
    <w:rsid w:val="00810FA5"/>
    <w:rsid w:val="0081192E"/>
    <w:rsid w:val="00820B03"/>
    <w:rsid w:val="00823499"/>
    <w:rsid w:val="00826359"/>
    <w:rsid w:val="00826AB2"/>
    <w:rsid w:val="00827316"/>
    <w:rsid w:val="008316C1"/>
    <w:rsid w:val="00833DAC"/>
    <w:rsid w:val="00836885"/>
    <w:rsid w:val="008400CB"/>
    <w:rsid w:val="00841699"/>
    <w:rsid w:val="00841E7B"/>
    <w:rsid w:val="00841F2F"/>
    <w:rsid w:val="0084359D"/>
    <w:rsid w:val="00845402"/>
    <w:rsid w:val="008458A1"/>
    <w:rsid w:val="00845ED5"/>
    <w:rsid w:val="00847E20"/>
    <w:rsid w:val="008505C0"/>
    <w:rsid w:val="00850A8F"/>
    <w:rsid w:val="00850D10"/>
    <w:rsid w:val="00852295"/>
    <w:rsid w:val="008531F0"/>
    <w:rsid w:val="008537D6"/>
    <w:rsid w:val="00856E7D"/>
    <w:rsid w:val="00862853"/>
    <w:rsid w:val="00863DA7"/>
    <w:rsid w:val="008653A5"/>
    <w:rsid w:val="00866F62"/>
    <w:rsid w:val="00870226"/>
    <w:rsid w:val="00872060"/>
    <w:rsid w:val="00873304"/>
    <w:rsid w:val="00873578"/>
    <w:rsid w:val="008736DC"/>
    <w:rsid w:val="00873CDC"/>
    <w:rsid w:val="00875925"/>
    <w:rsid w:val="00875C45"/>
    <w:rsid w:val="00876475"/>
    <w:rsid w:val="0088097A"/>
    <w:rsid w:val="00880E19"/>
    <w:rsid w:val="00884976"/>
    <w:rsid w:val="00886A83"/>
    <w:rsid w:val="008906EC"/>
    <w:rsid w:val="008917C0"/>
    <w:rsid w:val="00892D95"/>
    <w:rsid w:val="00893A6F"/>
    <w:rsid w:val="00894930"/>
    <w:rsid w:val="008969B7"/>
    <w:rsid w:val="008A4592"/>
    <w:rsid w:val="008A6396"/>
    <w:rsid w:val="008A7D2C"/>
    <w:rsid w:val="008B764D"/>
    <w:rsid w:val="008B77A0"/>
    <w:rsid w:val="008B7E3D"/>
    <w:rsid w:val="008C0DEF"/>
    <w:rsid w:val="008C2976"/>
    <w:rsid w:val="008C4175"/>
    <w:rsid w:val="008C4AA4"/>
    <w:rsid w:val="008C6A04"/>
    <w:rsid w:val="008C7318"/>
    <w:rsid w:val="008C7C8F"/>
    <w:rsid w:val="008D1A3B"/>
    <w:rsid w:val="008D3521"/>
    <w:rsid w:val="008D4722"/>
    <w:rsid w:val="008D623A"/>
    <w:rsid w:val="008D668B"/>
    <w:rsid w:val="008D6E00"/>
    <w:rsid w:val="008D6F66"/>
    <w:rsid w:val="008D74A7"/>
    <w:rsid w:val="008E2067"/>
    <w:rsid w:val="008E2FE3"/>
    <w:rsid w:val="008E455E"/>
    <w:rsid w:val="008E45EA"/>
    <w:rsid w:val="008E4A76"/>
    <w:rsid w:val="008E7CD5"/>
    <w:rsid w:val="008F0F50"/>
    <w:rsid w:val="008F2F31"/>
    <w:rsid w:val="008F39B6"/>
    <w:rsid w:val="008F433A"/>
    <w:rsid w:val="008F5637"/>
    <w:rsid w:val="008F64E2"/>
    <w:rsid w:val="008F6C56"/>
    <w:rsid w:val="008F71C4"/>
    <w:rsid w:val="009007BE"/>
    <w:rsid w:val="00902032"/>
    <w:rsid w:val="00905824"/>
    <w:rsid w:val="00906072"/>
    <w:rsid w:val="0090669B"/>
    <w:rsid w:val="00907C13"/>
    <w:rsid w:val="00910C1E"/>
    <w:rsid w:val="009123C6"/>
    <w:rsid w:val="009134C0"/>
    <w:rsid w:val="00913D95"/>
    <w:rsid w:val="009168EE"/>
    <w:rsid w:val="00916F60"/>
    <w:rsid w:val="009171FA"/>
    <w:rsid w:val="00917E51"/>
    <w:rsid w:val="00917EB5"/>
    <w:rsid w:val="009205CC"/>
    <w:rsid w:val="00920CB1"/>
    <w:rsid w:val="009216DD"/>
    <w:rsid w:val="00921806"/>
    <w:rsid w:val="009231B1"/>
    <w:rsid w:val="009243A8"/>
    <w:rsid w:val="009245FB"/>
    <w:rsid w:val="00924CFD"/>
    <w:rsid w:val="0092733E"/>
    <w:rsid w:val="00927746"/>
    <w:rsid w:val="00930B45"/>
    <w:rsid w:val="009339D9"/>
    <w:rsid w:val="00933F5E"/>
    <w:rsid w:val="009354F8"/>
    <w:rsid w:val="009355B3"/>
    <w:rsid w:val="009357B9"/>
    <w:rsid w:val="009400E3"/>
    <w:rsid w:val="00940B20"/>
    <w:rsid w:val="009410A5"/>
    <w:rsid w:val="009418C1"/>
    <w:rsid w:val="00941FB7"/>
    <w:rsid w:val="0094245B"/>
    <w:rsid w:val="00942822"/>
    <w:rsid w:val="009428B5"/>
    <w:rsid w:val="0094430C"/>
    <w:rsid w:val="009459CC"/>
    <w:rsid w:val="00946419"/>
    <w:rsid w:val="0094774C"/>
    <w:rsid w:val="00947AD9"/>
    <w:rsid w:val="009506B6"/>
    <w:rsid w:val="00951098"/>
    <w:rsid w:val="00953337"/>
    <w:rsid w:val="0095418C"/>
    <w:rsid w:val="0095544C"/>
    <w:rsid w:val="00956C75"/>
    <w:rsid w:val="009601CC"/>
    <w:rsid w:val="00960AD9"/>
    <w:rsid w:val="009615D4"/>
    <w:rsid w:val="0096187F"/>
    <w:rsid w:val="00961982"/>
    <w:rsid w:val="0096268F"/>
    <w:rsid w:val="009639D5"/>
    <w:rsid w:val="0096452F"/>
    <w:rsid w:val="00964925"/>
    <w:rsid w:val="00967085"/>
    <w:rsid w:val="0097076F"/>
    <w:rsid w:val="00970B22"/>
    <w:rsid w:val="00971232"/>
    <w:rsid w:val="00973479"/>
    <w:rsid w:val="00973685"/>
    <w:rsid w:val="00981F92"/>
    <w:rsid w:val="00982F87"/>
    <w:rsid w:val="009836DD"/>
    <w:rsid w:val="0098446F"/>
    <w:rsid w:val="00984910"/>
    <w:rsid w:val="009854F4"/>
    <w:rsid w:val="00985817"/>
    <w:rsid w:val="009903F8"/>
    <w:rsid w:val="00992204"/>
    <w:rsid w:val="00992D32"/>
    <w:rsid w:val="00993C8E"/>
    <w:rsid w:val="0099485B"/>
    <w:rsid w:val="0099516D"/>
    <w:rsid w:val="009965BB"/>
    <w:rsid w:val="00997AAF"/>
    <w:rsid w:val="009A0988"/>
    <w:rsid w:val="009A0B51"/>
    <w:rsid w:val="009A1C4C"/>
    <w:rsid w:val="009A230F"/>
    <w:rsid w:val="009A674A"/>
    <w:rsid w:val="009B0482"/>
    <w:rsid w:val="009B4172"/>
    <w:rsid w:val="009B4E71"/>
    <w:rsid w:val="009B5520"/>
    <w:rsid w:val="009B5BED"/>
    <w:rsid w:val="009B6A82"/>
    <w:rsid w:val="009B781E"/>
    <w:rsid w:val="009C06FD"/>
    <w:rsid w:val="009C1E7D"/>
    <w:rsid w:val="009C3584"/>
    <w:rsid w:val="009C366E"/>
    <w:rsid w:val="009C378B"/>
    <w:rsid w:val="009D33DB"/>
    <w:rsid w:val="009D499A"/>
    <w:rsid w:val="009D5E18"/>
    <w:rsid w:val="009D6BA9"/>
    <w:rsid w:val="009D7531"/>
    <w:rsid w:val="009E02BE"/>
    <w:rsid w:val="009E49E8"/>
    <w:rsid w:val="009E633C"/>
    <w:rsid w:val="009E7757"/>
    <w:rsid w:val="009F04A7"/>
    <w:rsid w:val="009F1153"/>
    <w:rsid w:val="009F15D2"/>
    <w:rsid w:val="009F3A86"/>
    <w:rsid w:val="009F45D2"/>
    <w:rsid w:val="009F5166"/>
    <w:rsid w:val="009F5F15"/>
    <w:rsid w:val="00A05385"/>
    <w:rsid w:val="00A066E1"/>
    <w:rsid w:val="00A067E1"/>
    <w:rsid w:val="00A100CD"/>
    <w:rsid w:val="00A1093E"/>
    <w:rsid w:val="00A11517"/>
    <w:rsid w:val="00A11882"/>
    <w:rsid w:val="00A14D25"/>
    <w:rsid w:val="00A15120"/>
    <w:rsid w:val="00A218ED"/>
    <w:rsid w:val="00A2292D"/>
    <w:rsid w:val="00A238CC"/>
    <w:rsid w:val="00A23D98"/>
    <w:rsid w:val="00A25059"/>
    <w:rsid w:val="00A2719A"/>
    <w:rsid w:val="00A31E6E"/>
    <w:rsid w:val="00A3263B"/>
    <w:rsid w:val="00A328C8"/>
    <w:rsid w:val="00A33EB1"/>
    <w:rsid w:val="00A34C41"/>
    <w:rsid w:val="00A35B26"/>
    <w:rsid w:val="00A41445"/>
    <w:rsid w:val="00A426E5"/>
    <w:rsid w:val="00A45848"/>
    <w:rsid w:val="00A45E98"/>
    <w:rsid w:val="00A46031"/>
    <w:rsid w:val="00A46F9B"/>
    <w:rsid w:val="00A536C3"/>
    <w:rsid w:val="00A54F80"/>
    <w:rsid w:val="00A60AF3"/>
    <w:rsid w:val="00A63D25"/>
    <w:rsid w:val="00A64F7E"/>
    <w:rsid w:val="00A64FC1"/>
    <w:rsid w:val="00A65CBB"/>
    <w:rsid w:val="00A65CFE"/>
    <w:rsid w:val="00A66CF6"/>
    <w:rsid w:val="00A67813"/>
    <w:rsid w:val="00A72F2F"/>
    <w:rsid w:val="00A75435"/>
    <w:rsid w:val="00A75FE8"/>
    <w:rsid w:val="00A761F0"/>
    <w:rsid w:val="00A770EE"/>
    <w:rsid w:val="00A80C73"/>
    <w:rsid w:val="00A84046"/>
    <w:rsid w:val="00A84F13"/>
    <w:rsid w:val="00A86747"/>
    <w:rsid w:val="00A86C17"/>
    <w:rsid w:val="00A905A7"/>
    <w:rsid w:val="00A922E6"/>
    <w:rsid w:val="00A923DD"/>
    <w:rsid w:val="00A926B2"/>
    <w:rsid w:val="00A929C8"/>
    <w:rsid w:val="00A94A6C"/>
    <w:rsid w:val="00A9504C"/>
    <w:rsid w:val="00A95CF5"/>
    <w:rsid w:val="00A97476"/>
    <w:rsid w:val="00AA09BB"/>
    <w:rsid w:val="00AA3C42"/>
    <w:rsid w:val="00AA593B"/>
    <w:rsid w:val="00AA6E35"/>
    <w:rsid w:val="00AA6FA7"/>
    <w:rsid w:val="00AB1A24"/>
    <w:rsid w:val="00AB2855"/>
    <w:rsid w:val="00AB2CEC"/>
    <w:rsid w:val="00AB4FB8"/>
    <w:rsid w:val="00AB5947"/>
    <w:rsid w:val="00AB6830"/>
    <w:rsid w:val="00AC2463"/>
    <w:rsid w:val="00AC4909"/>
    <w:rsid w:val="00AC4BC6"/>
    <w:rsid w:val="00AC55F2"/>
    <w:rsid w:val="00AC576A"/>
    <w:rsid w:val="00AC626A"/>
    <w:rsid w:val="00AC6D79"/>
    <w:rsid w:val="00AC7B88"/>
    <w:rsid w:val="00AC7C20"/>
    <w:rsid w:val="00AC7D2F"/>
    <w:rsid w:val="00AD09F2"/>
    <w:rsid w:val="00AD0E34"/>
    <w:rsid w:val="00AD1841"/>
    <w:rsid w:val="00AD4A0B"/>
    <w:rsid w:val="00AD6627"/>
    <w:rsid w:val="00AD719E"/>
    <w:rsid w:val="00AD77B0"/>
    <w:rsid w:val="00AE0887"/>
    <w:rsid w:val="00AE131F"/>
    <w:rsid w:val="00AE159D"/>
    <w:rsid w:val="00AE4B2A"/>
    <w:rsid w:val="00AE4FE6"/>
    <w:rsid w:val="00AE66B0"/>
    <w:rsid w:val="00AE6CD8"/>
    <w:rsid w:val="00AF1062"/>
    <w:rsid w:val="00AF332B"/>
    <w:rsid w:val="00AF468C"/>
    <w:rsid w:val="00AF4B2A"/>
    <w:rsid w:val="00AF782F"/>
    <w:rsid w:val="00B00431"/>
    <w:rsid w:val="00B0092E"/>
    <w:rsid w:val="00B021A6"/>
    <w:rsid w:val="00B0365B"/>
    <w:rsid w:val="00B04ED5"/>
    <w:rsid w:val="00B06E12"/>
    <w:rsid w:val="00B11317"/>
    <w:rsid w:val="00B12994"/>
    <w:rsid w:val="00B14C83"/>
    <w:rsid w:val="00B14FFD"/>
    <w:rsid w:val="00B16C8F"/>
    <w:rsid w:val="00B20BE2"/>
    <w:rsid w:val="00B21AC9"/>
    <w:rsid w:val="00B23296"/>
    <w:rsid w:val="00B25FBA"/>
    <w:rsid w:val="00B274AC"/>
    <w:rsid w:val="00B27ADD"/>
    <w:rsid w:val="00B27DA1"/>
    <w:rsid w:val="00B27FD2"/>
    <w:rsid w:val="00B313A5"/>
    <w:rsid w:val="00B319A8"/>
    <w:rsid w:val="00B32B42"/>
    <w:rsid w:val="00B333CB"/>
    <w:rsid w:val="00B3462C"/>
    <w:rsid w:val="00B34C37"/>
    <w:rsid w:val="00B3682C"/>
    <w:rsid w:val="00B41C71"/>
    <w:rsid w:val="00B42955"/>
    <w:rsid w:val="00B5009E"/>
    <w:rsid w:val="00B5276D"/>
    <w:rsid w:val="00B53CD6"/>
    <w:rsid w:val="00B564FB"/>
    <w:rsid w:val="00B56783"/>
    <w:rsid w:val="00B57167"/>
    <w:rsid w:val="00B57D48"/>
    <w:rsid w:val="00B605BD"/>
    <w:rsid w:val="00B628F2"/>
    <w:rsid w:val="00B63D8B"/>
    <w:rsid w:val="00B6533D"/>
    <w:rsid w:val="00B65D89"/>
    <w:rsid w:val="00B717E7"/>
    <w:rsid w:val="00B719EA"/>
    <w:rsid w:val="00B76CA0"/>
    <w:rsid w:val="00B77F74"/>
    <w:rsid w:val="00B8073F"/>
    <w:rsid w:val="00B841CD"/>
    <w:rsid w:val="00B849D0"/>
    <w:rsid w:val="00B8504A"/>
    <w:rsid w:val="00B873FB"/>
    <w:rsid w:val="00B87EEA"/>
    <w:rsid w:val="00B91492"/>
    <w:rsid w:val="00B91622"/>
    <w:rsid w:val="00B91BBC"/>
    <w:rsid w:val="00B920B9"/>
    <w:rsid w:val="00B93E16"/>
    <w:rsid w:val="00B93E50"/>
    <w:rsid w:val="00B943E7"/>
    <w:rsid w:val="00B95CC4"/>
    <w:rsid w:val="00B96E7A"/>
    <w:rsid w:val="00B96F62"/>
    <w:rsid w:val="00B96FC0"/>
    <w:rsid w:val="00B97F1D"/>
    <w:rsid w:val="00BA30CF"/>
    <w:rsid w:val="00BA38D5"/>
    <w:rsid w:val="00BA6208"/>
    <w:rsid w:val="00BA64D6"/>
    <w:rsid w:val="00BB01B3"/>
    <w:rsid w:val="00BB3748"/>
    <w:rsid w:val="00BB4238"/>
    <w:rsid w:val="00BB467B"/>
    <w:rsid w:val="00BB4D1D"/>
    <w:rsid w:val="00BB6769"/>
    <w:rsid w:val="00BB6EDE"/>
    <w:rsid w:val="00BB7768"/>
    <w:rsid w:val="00BB792D"/>
    <w:rsid w:val="00BB7D6C"/>
    <w:rsid w:val="00BC12CA"/>
    <w:rsid w:val="00BC2115"/>
    <w:rsid w:val="00BC3330"/>
    <w:rsid w:val="00BC38F8"/>
    <w:rsid w:val="00BC4855"/>
    <w:rsid w:val="00BC639C"/>
    <w:rsid w:val="00BC6A86"/>
    <w:rsid w:val="00BC6B86"/>
    <w:rsid w:val="00BC76DF"/>
    <w:rsid w:val="00BD0A19"/>
    <w:rsid w:val="00BD1B09"/>
    <w:rsid w:val="00BD378E"/>
    <w:rsid w:val="00BD3C38"/>
    <w:rsid w:val="00BD3E45"/>
    <w:rsid w:val="00BD4AF4"/>
    <w:rsid w:val="00BD76F8"/>
    <w:rsid w:val="00BE14D6"/>
    <w:rsid w:val="00BE1566"/>
    <w:rsid w:val="00BE28BB"/>
    <w:rsid w:val="00BE4AA1"/>
    <w:rsid w:val="00BE4EE6"/>
    <w:rsid w:val="00BE54CB"/>
    <w:rsid w:val="00BE5A5A"/>
    <w:rsid w:val="00BE6934"/>
    <w:rsid w:val="00BE6DDB"/>
    <w:rsid w:val="00BE795B"/>
    <w:rsid w:val="00BF1155"/>
    <w:rsid w:val="00BF1E39"/>
    <w:rsid w:val="00BF2457"/>
    <w:rsid w:val="00BF270F"/>
    <w:rsid w:val="00BF3032"/>
    <w:rsid w:val="00BF36F2"/>
    <w:rsid w:val="00BF751E"/>
    <w:rsid w:val="00BF7A37"/>
    <w:rsid w:val="00BF7DC8"/>
    <w:rsid w:val="00C00454"/>
    <w:rsid w:val="00C00F02"/>
    <w:rsid w:val="00C01AF5"/>
    <w:rsid w:val="00C038ED"/>
    <w:rsid w:val="00C05A1B"/>
    <w:rsid w:val="00C0705C"/>
    <w:rsid w:val="00C07D03"/>
    <w:rsid w:val="00C10310"/>
    <w:rsid w:val="00C15856"/>
    <w:rsid w:val="00C16DE3"/>
    <w:rsid w:val="00C174C6"/>
    <w:rsid w:val="00C2177C"/>
    <w:rsid w:val="00C230BF"/>
    <w:rsid w:val="00C24F4E"/>
    <w:rsid w:val="00C265CA"/>
    <w:rsid w:val="00C30729"/>
    <w:rsid w:val="00C32875"/>
    <w:rsid w:val="00C32BD3"/>
    <w:rsid w:val="00C348D6"/>
    <w:rsid w:val="00C41DBE"/>
    <w:rsid w:val="00C422D9"/>
    <w:rsid w:val="00C423AF"/>
    <w:rsid w:val="00C42482"/>
    <w:rsid w:val="00C4433B"/>
    <w:rsid w:val="00C454F3"/>
    <w:rsid w:val="00C45A68"/>
    <w:rsid w:val="00C4601E"/>
    <w:rsid w:val="00C46EB1"/>
    <w:rsid w:val="00C4775A"/>
    <w:rsid w:val="00C47808"/>
    <w:rsid w:val="00C507AB"/>
    <w:rsid w:val="00C52141"/>
    <w:rsid w:val="00C531AA"/>
    <w:rsid w:val="00C5381B"/>
    <w:rsid w:val="00C53B61"/>
    <w:rsid w:val="00C56227"/>
    <w:rsid w:val="00C57FC9"/>
    <w:rsid w:val="00C622C1"/>
    <w:rsid w:val="00C632E0"/>
    <w:rsid w:val="00C6452A"/>
    <w:rsid w:val="00C6612D"/>
    <w:rsid w:val="00C6687F"/>
    <w:rsid w:val="00C71A46"/>
    <w:rsid w:val="00C72ED8"/>
    <w:rsid w:val="00C7306E"/>
    <w:rsid w:val="00C737EE"/>
    <w:rsid w:val="00C73D2D"/>
    <w:rsid w:val="00C73D9B"/>
    <w:rsid w:val="00C74417"/>
    <w:rsid w:val="00C7490B"/>
    <w:rsid w:val="00C74AA0"/>
    <w:rsid w:val="00C76C56"/>
    <w:rsid w:val="00C77859"/>
    <w:rsid w:val="00C80B7E"/>
    <w:rsid w:val="00C81E43"/>
    <w:rsid w:val="00C82EE9"/>
    <w:rsid w:val="00C846EF"/>
    <w:rsid w:val="00C90687"/>
    <w:rsid w:val="00C94B81"/>
    <w:rsid w:val="00C95586"/>
    <w:rsid w:val="00C95DC1"/>
    <w:rsid w:val="00C97AE7"/>
    <w:rsid w:val="00CA18BA"/>
    <w:rsid w:val="00CA6D78"/>
    <w:rsid w:val="00CA6FFF"/>
    <w:rsid w:val="00CB4F5A"/>
    <w:rsid w:val="00CB6C12"/>
    <w:rsid w:val="00CB78A7"/>
    <w:rsid w:val="00CC04B9"/>
    <w:rsid w:val="00CC0753"/>
    <w:rsid w:val="00CC1FDC"/>
    <w:rsid w:val="00CC26FF"/>
    <w:rsid w:val="00CC7901"/>
    <w:rsid w:val="00CD0ACD"/>
    <w:rsid w:val="00CD1191"/>
    <w:rsid w:val="00CD22EE"/>
    <w:rsid w:val="00CD305B"/>
    <w:rsid w:val="00CD323A"/>
    <w:rsid w:val="00CD35B1"/>
    <w:rsid w:val="00CD6EA4"/>
    <w:rsid w:val="00CD74B8"/>
    <w:rsid w:val="00CE00E7"/>
    <w:rsid w:val="00CE2737"/>
    <w:rsid w:val="00CE2C42"/>
    <w:rsid w:val="00CE4825"/>
    <w:rsid w:val="00CF0764"/>
    <w:rsid w:val="00CF0CBE"/>
    <w:rsid w:val="00CF1325"/>
    <w:rsid w:val="00CF29ED"/>
    <w:rsid w:val="00CF4A6C"/>
    <w:rsid w:val="00CF63F2"/>
    <w:rsid w:val="00CF6D06"/>
    <w:rsid w:val="00D01336"/>
    <w:rsid w:val="00D016F6"/>
    <w:rsid w:val="00D055BE"/>
    <w:rsid w:val="00D06816"/>
    <w:rsid w:val="00D07AA8"/>
    <w:rsid w:val="00D113AB"/>
    <w:rsid w:val="00D133F1"/>
    <w:rsid w:val="00D13AAA"/>
    <w:rsid w:val="00D13C52"/>
    <w:rsid w:val="00D15364"/>
    <w:rsid w:val="00D16786"/>
    <w:rsid w:val="00D16C68"/>
    <w:rsid w:val="00D17E95"/>
    <w:rsid w:val="00D21CE7"/>
    <w:rsid w:val="00D2218B"/>
    <w:rsid w:val="00D22780"/>
    <w:rsid w:val="00D25CD5"/>
    <w:rsid w:val="00D277D9"/>
    <w:rsid w:val="00D3029D"/>
    <w:rsid w:val="00D303A0"/>
    <w:rsid w:val="00D303E5"/>
    <w:rsid w:val="00D31070"/>
    <w:rsid w:val="00D31F2E"/>
    <w:rsid w:val="00D321F9"/>
    <w:rsid w:val="00D3272D"/>
    <w:rsid w:val="00D328DE"/>
    <w:rsid w:val="00D32FF2"/>
    <w:rsid w:val="00D36E58"/>
    <w:rsid w:val="00D4118F"/>
    <w:rsid w:val="00D4489D"/>
    <w:rsid w:val="00D44C89"/>
    <w:rsid w:val="00D4722E"/>
    <w:rsid w:val="00D51333"/>
    <w:rsid w:val="00D51CE8"/>
    <w:rsid w:val="00D523A5"/>
    <w:rsid w:val="00D52CD6"/>
    <w:rsid w:val="00D53192"/>
    <w:rsid w:val="00D53210"/>
    <w:rsid w:val="00D549F3"/>
    <w:rsid w:val="00D55BB3"/>
    <w:rsid w:val="00D607BD"/>
    <w:rsid w:val="00D632FC"/>
    <w:rsid w:val="00D70CE9"/>
    <w:rsid w:val="00D71176"/>
    <w:rsid w:val="00D72096"/>
    <w:rsid w:val="00D72386"/>
    <w:rsid w:val="00D7765D"/>
    <w:rsid w:val="00D80CF6"/>
    <w:rsid w:val="00D81A81"/>
    <w:rsid w:val="00D81CA0"/>
    <w:rsid w:val="00D844FC"/>
    <w:rsid w:val="00D876AD"/>
    <w:rsid w:val="00D9192C"/>
    <w:rsid w:val="00D9195E"/>
    <w:rsid w:val="00D91A60"/>
    <w:rsid w:val="00D91A85"/>
    <w:rsid w:val="00D93398"/>
    <w:rsid w:val="00D950FE"/>
    <w:rsid w:val="00D952B3"/>
    <w:rsid w:val="00D96A5A"/>
    <w:rsid w:val="00D97216"/>
    <w:rsid w:val="00D978A4"/>
    <w:rsid w:val="00DA1B9D"/>
    <w:rsid w:val="00DA24EC"/>
    <w:rsid w:val="00DA3689"/>
    <w:rsid w:val="00DA5505"/>
    <w:rsid w:val="00DA588E"/>
    <w:rsid w:val="00DA6304"/>
    <w:rsid w:val="00DA740C"/>
    <w:rsid w:val="00DB26F0"/>
    <w:rsid w:val="00DB3913"/>
    <w:rsid w:val="00DB52CE"/>
    <w:rsid w:val="00DC3270"/>
    <w:rsid w:val="00DC5F2A"/>
    <w:rsid w:val="00DC6137"/>
    <w:rsid w:val="00DC61C2"/>
    <w:rsid w:val="00DC6B4A"/>
    <w:rsid w:val="00DD116A"/>
    <w:rsid w:val="00DD1EEC"/>
    <w:rsid w:val="00DD21A3"/>
    <w:rsid w:val="00DD220E"/>
    <w:rsid w:val="00DD2E77"/>
    <w:rsid w:val="00DD4C73"/>
    <w:rsid w:val="00DD4DB3"/>
    <w:rsid w:val="00DD6424"/>
    <w:rsid w:val="00DE21CB"/>
    <w:rsid w:val="00DE235D"/>
    <w:rsid w:val="00DE3A7F"/>
    <w:rsid w:val="00DE3B72"/>
    <w:rsid w:val="00DE4C1B"/>
    <w:rsid w:val="00DE7D77"/>
    <w:rsid w:val="00DF0C91"/>
    <w:rsid w:val="00DF1B27"/>
    <w:rsid w:val="00DF200D"/>
    <w:rsid w:val="00DF2F6B"/>
    <w:rsid w:val="00DF3681"/>
    <w:rsid w:val="00DF38B5"/>
    <w:rsid w:val="00DF3B48"/>
    <w:rsid w:val="00DF52C5"/>
    <w:rsid w:val="00DF5673"/>
    <w:rsid w:val="00DF7596"/>
    <w:rsid w:val="00DF7D25"/>
    <w:rsid w:val="00E01C95"/>
    <w:rsid w:val="00E02375"/>
    <w:rsid w:val="00E044F0"/>
    <w:rsid w:val="00E050CC"/>
    <w:rsid w:val="00E05215"/>
    <w:rsid w:val="00E12370"/>
    <w:rsid w:val="00E129A1"/>
    <w:rsid w:val="00E133F3"/>
    <w:rsid w:val="00E13AD1"/>
    <w:rsid w:val="00E15332"/>
    <w:rsid w:val="00E161EC"/>
    <w:rsid w:val="00E21681"/>
    <w:rsid w:val="00E21770"/>
    <w:rsid w:val="00E22C44"/>
    <w:rsid w:val="00E23DEF"/>
    <w:rsid w:val="00E25677"/>
    <w:rsid w:val="00E262F5"/>
    <w:rsid w:val="00E27980"/>
    <w:rsid w:val="00E30ADE"/>
    <w:rsid w:val="00E30EB3"/>
    <w:rsid w:val="00E32750"/>
    <w:rsid w:val="00E367F9"/>
    <w:rsid w:val="00E37D17"/>
    <w:rsid w:val="00E4128A"/>
    <w:rsid w:val="00E4169A"/>
    <w:rsid w:val="00E426A2"/>
    <w:rsid w:val="00E430C8"/>
    <w:rsid w:val="00E44532"/>
    <w:rsid w:val="00E4546B"/>
    <w:rsid w:val="00E454E1"/>
    <w:rsid w:val="00E47B34"/>
    <w:rsid w:val="00E51594"/>
    <w:rsid w:val="00E528F1"/>
    <w:rsid w:val="00E52C07"/>
    <w:rsid w:val="00E5395C"/>
    <w:rsid w:val="00E54059"/>
    <w:rsid w:val="00E54068"/>
    <w:rsid w:val="00E550CE"/>
    <w:rsid w:val="00E551DF"/>
    <w:rsid w:val="00E55620"/>
    <w:rsid w:val="00E55E21"/>
    <w:rsid w:val="00E56474"/>
    <w:rsid w:val="00E60E73"/>
    <w:rsid w:val="00E6162D"/>
    <w:rsid w:val="00E64F0D"/>
    <w:rsid w:val="00E66F84"/>
    <w:rsid w:val="00E67501"/>
    <w:rsid w:val="00E702D7"/>
    <w:rsid w:val="00E712F4"/>
    <w:rsid w:val="00E71C0F"/>
    <w:rsid w:val="00E72804"/>
    <w:rsid w:val="00E73BA0"/>
    <w:rsid w:val="00E73C90"/>
    <w:rsid w:val="00E73DA5"/>
    <w:rsid w:val="00E7520A"/>
    <w:rsid w:val="00E75814"/>
    <w:rsid w:val="00E76F18"/>
    <w:rsid w:val="00E7789F"/>
    <w:rsid w:val="00E81079"/>
    <w:rsid w:val="00E834B6"/>
    <w:rsid w:val="00E845D3"/>
    <w:rsid w:val="00E848DF"/>
    <w:rsid w:val="00E84CE7"/>
    <w:rsid w:val="00E864D7"/>
    <w:rsid w:val="00E9062B"/>
    <w:rsid w:val="00E92809"/>
    <w:rsid w:val="00E939AC"/>
    <w:rsid w:val="00E94A2E"/>
    <w:rsid w:val="00E95B47"/>
    <w:rsid w:val="00EA3681"/>
    <w:rsid w:val="00EA5EDE"/>
    <w:rsid w:val="00EA73DC"/>
    <w:rsid w:val="00EB0FD2"/>
    <w:rsid w:val="00EB2AE9"/>
    <w:rsid w:val="00EB3D4B"/>
    <w:rsid w:val="00EB6698"/>
    <w:rsid w:val="00EB6891"/>
    <w:rsid w:val="00EB75E6"/>
    <w:rsid w:val="00EB7D30"/>
    <w:rsid w:val="00EC1500"/>
    <w:rsid w:val="00EC208D"/>
    <w:rsid w:val="00EC2185"/>
    <w:rsid w:val="00EC6756"/>
    <w:rsid w:val="00EC7106"/>
    <w:rsid w:val="00EC78B2"/>
    <w:rsid w:val="00ED0780"/>
    <w:rsid w:val="00ED07C6"/>
    <w:rsid w:val="00ED29E4"/>
    <w:rsid w:val="00ED3B3F"/>
    <w:rsid w:val="00ED3BB7"/>
    <w:rsid w:val="00ED41F1"/>
    <w:rsid w:val="00ED54DB"/>
    <w:rsid w:val="00ED6C87"/>
    <w:rsid w:val="00ED7EB4"/>
    <w:rsid w:val="00EE0F31"/>
    <w:rsid w:val="00EE2BE3"/>
    <w:rsid w:val="00EE3E2E"/>
    <w:rsid w:val="00EE45E2"/>
    <w:rsid w:val="00EE5455"/>
    <w:rsid w:val="00EE65A2"/>
    <w:rsid w:val="00EE6DC3"/>
    <w:rsid w:val="00EE7B50"/>
    <w:rsid w:val="00EF0F9F"/>
    <w:rsid w:val="00EF12AE"/>
    <w:rsid w:val="00EF204D"/>
    <w:rsid w:val="00EF2C65"/>
    <w:rsid w:val="00EF3CE7"/>
    <w:rsid w:val="00EF4B00"/>
    <w:rsid w:val="00EF5955"/>
    <w:rsid w:val="00EF69E8"/>
    <w:rsid w:val="00EF790E"/>
    <w:rsid w:val="00F0187C"/>
    <w:rsid w:val="00F02358"/>
    <w:rsid w:val="00F0366E"/>
    <w:rsid w:val="00F1282F"/>
    <w:rsid w:val="00F1414B"/>
    <w:rsid w:val="00F151FC"/>
    <w:rsid w:val="00F17ADB"/>
    <w:rsid w:val="00F21EAA"/>
    <w:rsid w:val="00F23ABE"/>
    <w:rsid w:val="00F2579D"/>
    <w:rsid w:val="00F26527"/>
    <w:rsid w:val="00F2686E"/>
    <w:rsid w:val="00F272D2"/>
    <w:rsid w:val="00F31288"/>
    <w:rsid w:val="00F325F5"/>
    <w:rsid w:val="00F3451D"/>
    <w:rsid w:val="00F37248"/>
    <w:rsid w:val="00F372F4"/>
    <w:rsid w:val="00F376B2"/>
    <w:rsid w:val="00F37D2B"/>
    <w:rsid w:val="00F465E4"/>
    <w:rsid w:val="00F51DF2"/>
    <w:rsid w:val="00F530A5"/>
    <w:rsid w:val="00F531FB"/>
    <w:rsid w:val="00F53FB9"/>
    <w:rsid w:val="00F56188"/>
    <w:rsid w:val="00F60792"/>
    <w:rsid w:val="00F61043"/>
    <w:rsid w:val="00F647E0"/>
    <w:rsid w:val="00F66A41"/>
    <w:rsid w:val="00F71D0E"/>
    <w:rsid w:val="00F72D74"/>
    <w:rsid w:val="00F73382"/>
    <w:rsid w:val="00F75940"/>
    <w:rsid w:val="00F7705F"/>
    <w:rsid w:val="00F77078"/>
    <w:rsid w:val="00F7711F"/>
    <w:rsid w:val="00F8080B"/>
    <w:rsid w:val="00F8099F"/>
    <w:rsid w:val="00F811D8"/>
    <w:rsid w:val="00F81544"/>
    <w:rsid w:val="00F828A2"/>
    <w:rsid w:val="00F82D9A"/>
    <w:rsid w:val="00F853D2"/>
    <w:rsid w:val="00F8650B"/>
    <w:rsid w:val="00F875AD"/>
    <w:rsid w:val="00F875B3"/>
    <w:rsid w:val="00F92429"/>
    <w:rsid w:val="00F9250B"/>
    <w:rsid w:val="00F965F3"/>
    <w:rsid w:val="00F96A79"/>
    <w:rsid w:val="00F97A01"/>
    <w:rsid w:val="00F97F73"/>
    <w:rsid w:val="00FA12DF"/>
    <w:rsid w:val="00FA1C1C"/>
    <w:rsid w:val="00FA2BFC"/>
    <w:rsid w:val="00FA2EEE"/>
    <w:rsid w:val="00FA338C"/>
    <w:rsid w:val="00FA355A"/>
    <w:rsid w:val="00FA4434"/>
    <w:rsid w:val="00FA5A5C"/>
    <w:rsid w:val="00FA651D"/>
    <w:rsid w:val="00FA68ED"/>
    <w:rsid w:val="00FA6BD0"/>
    <w:rsid w:val="00FB026E"/>
    <w:rsid w:val="00FB486D"/>
    <w:rsid w:val="00FC0D9F"/>
    <w:rsid w:val="00FC2A46"/>
    <w:rsid w:val="00FC4E2D"/>
    <w:rsid w:val="00FC6792"/>
    <w:rsid w:val="00FC7519"/>
    <w:rsid w:val="00FC7945"/>
    <w:rsid w:val="00FD0A61"/>
    <w:rsid w:val="00FD1336"/>
    <w:rsid w:val="00FD23B7"/>
    <w:rsid w:val="00FD4564"/>
    <w:rsid w:val="00FD5954"/>
    <w:rsid w:val="00FE0473"/>
    <w:rsid w:val="00FE1583"/>
    <w:rsid w:val="00FE17E0"/>
    <w:rsid w:val="00FE2543"/>
    <w:rsid w:val="00FE36D3"/>
    <w:rsid w:val="00FE36ED"/>
    <w:rsid w:val="00FE3D8C"/>
    <w:rsid w:val="00FE5218"/>
    <w:rsid w:val="00FE6E8D"/>
    <w:rsid w:val="00FE71AF"/>
    <w:rsid w:val="00FE735C"/>
    <w:rsid w:val="00FF1899"/>
    <w:rsid w:val="00FF1F6C"/>
    <w:rsid w:val="00FF5F9F"/>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67D0"/>
  <w15:chartTrackingRefBased/>
  <w15:docId w15:val="{2557DDA2-4262-4974-ACA0-353E787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CC8"/>
    <w:pPr>
      <w:spacing w:before="60" w:line="280" w:lineRule="exact"/>
    </w:pPr>
  </w:style>
  <w:style w:type="paragraph" w:styleId="Heading1">
    <w:name w:val="heading 1"/>
    <w:basedOn w:val="Normal"/>
    <w:next w:val="Normal"/>
    <w:link w:val="Heading1Char"/>
    <w:autoRedefine/>
    <w:uiPriority w:val="9"/>
    <w:rsid w:val="00FE1583"/>
    <w:pPr>
      <w:keepNext/>
      <w:keepLines/>
      <w:shd w:val="clear" w:color="auto" w:fill="FAFAFA"/>
      <w:spacing w:before="0" w:line="276" w:lineRule="auto"/>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1CC8"/>
    <w:pPr>
      <w:keepNext/>
      <w:keepLines/>
      <w:numPr>
        <w:ilvl w:val="1"/>
        <w:numId w:val="1"/>
      </w:numPr>
      <w:spacing w:before="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482"/>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048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048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048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048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048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48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82"/>
    <w:pPr>
      <w:ind w:left="720"/>
      <w:contextualSpacing/>
    </w:pPr>
  </w:style>
  <w:style w:type="character" w:customStyle="1" w:styleId="Heading1Char">
    <w:name w:val="Heading 1 Char"/>
    <w:basedOn w:val="DefaultParagraphFont"/>
    <w:link w:val="Heading1"/>
    <w:uiPriority w:val="9"/>
    <w:rsid w:val="00FE1583"/>
    <w:rPr>
      <w:rFonts w:asciiTheme="majorHAnsi" w:eastAsiaTheme="majorEastAsia" w:hAnsiTheme="majorHAnsi" w:cstheme="majorBidi"/>
      <w:color w:val="2E74B5" w:themeColor="accent1" w:themeShade="BF"/>
      <w:sz w:val="32"/>
      <w:szCs w:val="32"/>
      <w:shd w:val="clear" w:color="auto" w:fill="FAFAFA"/>
    </w:rPr>
  </w:style>
  <w:style w:type="character" w:customStyle="1" w:styleId="Heading2Char">
    <w:name w:val="Heading 2 Char"/>
    <w:basedOn w:val="DefaultParagraphFont"/>
    <w:link w:val="Heading2"/>
    <w:uiPriority w:val="9"/>
    <w:rsid w:val="00741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4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B04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B04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B04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B04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B0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48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8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4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04A7"/>
    <w:pPr>
      <w:tabs>
        <w:tab w:val="center" w:pos="4513"/>
        <w:tab w:val="right" w:pos="9026"/>
      </w:tabs>
    </w:pPr>
  </w:style>
  <w:style w:type="character" w:customStyle="1" w:styleId="HeaderChar">
    <w:name w:val="Header Char"/>
    <w:basedOn w:val="DefaultParagraphFont"/>
    <w:link w:val="Header"/>
    <w:uiPriority w:val="99"/>
    <w:rsid w:val="009F04A7"/>
  </w:style>
  <w:style w:type="paragraph" w:styleId="Footer">
    <w:name w:val="footer"/>
    <w:basedOn w:val="Normal"/>
    <w:link w:val="FooterChar"/>
    <w:uiPriority w:val="99"/>
    <w:unhideWhenUsed/>
    <w:rsid w:val="009F04A7"/>
    <w:pPr>
      <w:tabs>
        <w:tab w:val="center" w:pos="4513"/>
        <w:tab w:val="right" w:pos="9026"/>
      </w:tabs>
    </w:pPr>
  </w:style>
  <w:style w:type="character" w:customStyle="1" w:styleId="FooterChar">
    <w:name w:val="Footer Char"/>
    <w:basedOn w:val="DefaultParagraphFont"/>
    <w:link w:val="Footer"/>
    <w:uiPriority w:val="99"/>
    <w:rsid w:val="009F04A7"/>
  </w:style>
  <w:style w:type="paragraph" w:styleId="BalloonText">
    <w:name w:val="Balloon Text"/>
    <w:basedOn w:val="Normal"/>
    <w:link w:val="BalloonTextChar"/>
    <w:uiPriority w:val="99"/>
    <w:semiHidden/>
    <w:unhideWhenUsed/>
    <w:rsid w:val="00235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28"/>
    <w:rPr>
      <w:rFonts w:ascii="Segoe UI" w:hAnsi="Segoe UI" w:cs="Segoe UI"/>
      <w:sz w:val="18"/>
      <w:szCs w:val="18"/>
    </w:rPr>
  </w:style>
  <w:style w:type="table" w:styleId="GridTable4-Accent3">
    <w:name w:val="Grid Table 4 Accent 3"/>
    <w:basedOn w:val="TableNormal"/>
    <w:uiPriority w:val="49"/>
    <w:rsid w:val="00DF56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26527"/>
    <w:rPr>
      <w:color w:val="0563C1" w:themeColor="hyperlink"/>
      <w:u w:val="single"/>
    </w:rPr>
  </w:style>
  <w:style w:type="paragraph" w:styleId="FootnoteText">
    <w:name w:val="footnote text"/>
    <w:basedOn w:val="Normal"/>
    <w:link w:val="FootnoteTextChar"/>
    <w:uiPriority w:val="99"/>
    <w:semiHidden/>
    <w:unhideWhenUsed/>
    <w:rsid w:val="00B76CA0"/>
    <w:rPr>
      <w:sz w:val="20"/>
      <w:szCs w:val="20"/>
    </w:rPr>
  </w:style>
  <w:style w:type="character" w:customStyle="1" w:styleId="FootnoteTextChar">
    <w:name w:val="Footnote Text Char"/>
    <w:basedOn w:val="DefaultParagraphFont"/>
    <w:link w:val="FootnoteText"/>
    <w:uiPriority w:val="99"/>
    <w:semiHidden/>
    <w:rsid w:val="00B76CA0"/>
    <w:rPr>
      <w:sz w:val="20"/>
      <w:szCs w:val="20"/>
    </w:rPr>
  </w:style>
  <w:style w:type="character" w:styleId="FootnoteReference">
    <w:name w:val="footnote reference"/>
    <w:basedOn w:val="DefaultParagraphFont"/>
    <w:uiPriority w:val="99"/>
    <w:semiHidden/>
    <w:unhideWhenUsed/>
    <w:rsid w:val="00B76CA0"/>
    <w:rPr>
      <w:vertAlign w:val="superscript"/>
    </w:rPr>
  </w:style>
  <w:style w:type="character" w:styleId="FollowedHyperlink">
    <w:name w:val="FollowedHyperlink"/>
    <w:basedOn w:val="DefaultParagraphFont"/>
    <w:uiPriority w:val="99"/>
    <w:semiHidden/>
    <w:unhideWhenUsed/>
    <w:rsid w:val="00422EBA"/>
    <w:rPr>
      <w:color w:val="954F72" w:themeColor="followedHyperlink"/>
      <w:u w:val="single"/>
    </w:rPr>
  </w:style>
  <w:style w:type="paragraph" w:customStyle="1" w:styleId="TableParagraph">
    <w:name w:val="Table Paragraph"/>
    <w:basedOn w:val="Normal"/>
    <w:uiPriority w:val="1"/>
    <w:qFormat/>
    <w:rsid w:val="002010D3"/>
    <w:pPr>
      <w:widowControl w:val="0"/>
      <w:ind w:left="103"/>
    </w:pPr>
    <w:rPr>
      <w:rFonts w:ascii="Times New Roman" w:eastAsia="Times New Roman" w:hAnsi="Times New Roman" w:cs="Times New Roman"/>
    </w:rPr>
  </w:style>
  <w:style w:type="paragraph" w:styleId="TOCHeading">
    <w:name w:val="TOC Heading"/>
    <w:basedOn w:val="Heading1"/>
    <w:next w:val="Normal"/>
    <w:uiPriority w:val="39"/>
    <w:unhideWhenUsed/>
    <w:qFormat/>
    <w:rsid w:val="00D16C68"/>
    <w:pPr>
      <w:outlineLvl w:val="9"/>
    </w:pPr>
  </w:style>
  <w:style w:type="paragraph" w:styleId="TOC1">
    <w:name w:val="toc 1"/>
    <w:basedOn w:val="Normal"/>
    <w:next w:val="Normal"/>
    <w:autoRedefine/>
    <w:uiPriority w:val="39"/>
    <w:unhideWhenUsed/>
    <w:rsid w:val="00D16C68"/>
    <w:pPr>
      <w:spacing w:after="100"/>
    </w:pPr>
    <w:rPr>
      <w:lang w:val="en-GB"/>
    </w:rPr>
  </w:style>
  <w:style w:type="paragraph" w:styleId="TOC2">
    <w:name w:val="toc 2"/>
    <w:basedOn w:val="Normal"/>
    <w:next w:val="Normal"/>
    <w:autoRedefine/>
    <w:uiPriority w:val="39"/>
    <w:unhideWhenUsed/>
    <w:rsid w:val="00D16C68"/>
    <w:pPr>
      <w:spacing w:after="100"/>
      <w:ind w:left="220"/>
    </w:pPr>
    <w:rPr>
      <w:lang w:val="en-GB"/>
    </w:rPr>
  </w:style>
  <w:style w:type="paragraph" w:styleId="TOC3">
    <w:name w:val="toc 3"/>
    <w:basedOn w:val="Normal"/>
    <w:next w:val="Normal"/>
    <w:autoRedefine/>
    <w:uiPriority w:val="39"/>
    <w:unhideWhenUsed/>
    <w:rsid w:val="00D16C68"/>
    <w:pPr>
      <w:spacing w:after="100"/>
      <w:ind w:left="440"/>
    </w:pPr>
  </w:style>
  <w:style w:type="paragraph" w:styleId="NormalWeb">
    <w:name w:val="Normal (Web)"/>
    <w:basedOn w:val="Normal"/>
    <w:uiPriority w:val="99"/>
    <w:semiHidden/>
    <w:unhideWhenUsed/>
    <w:rsid w:val="00F23ABE"/>
    <w:rPr>
      <w:rFonts w:ascii="Times New Roman" w:hAnsi="Times New Roman" w:cs="Times New Roman"/>
      <w:sz w:val="24"/>
      <w:szCs w:val="24"/>
    </w:rPr>
  </w:style>
  <w:style w:type="paragraph" w:customStyle="1" w:styleId="Style1">
    <w:name w:val="Style1"/>
    <w:basedOn w:val="Heading3"/>
    <w:link w:val="Style1Char"/>
    <w:qFormat/>
    <w:rsid w:val="002C26AF"/>
    <w:rPr>
      <w:color w:val="2E74B5" w:themeColor="accent1" w:themeShade="BF"/>
    </w:rPr>
  </w:style>
  <w:style w:type="character" w:customStyle="1" w:styleId="Style1Char">
    <w:name w:val="Style1 Char"/>
    <w:basedOn w:val="Heading3Char"/>
    <w:link w:val="Style1"/>
    <w:rsid w:val="002C26AF"/>
    <w:rPr>
      <w:rFonts w:asciiTheme="majorHAnsi" w:eastAsiaTheme="majorEastAsia" w:hAnsiTheme="majorHAnsi" w:cstheme="majorBidi"/>
      <w:color w:val="2E74B5" w:themeColor="accent1" w:themeShade="BF"/>
      <w:sz w:val="24"/>
      <w:szCs w:val="24"/>
    </w:rPr>
  </w:style>
  <w:style w:type="paragraph" w:styleId="CommentText">
    <w:name w:val="annotation text"/>
    <w:basedOn w:val="Normal"/>
    <w:link w:val="CommentTextChar"/>
    <w:uiPriority w:val="99"/>
    <w:unhideWhenUsed/>
    <w:rsid w:val="00C30729"/>
    <w:rPr>
      <w:sz w:val="20"/>
      <w:szCs w:val="20"/>
    </w:rPr>
  </w:style>
  <w:style w:type="character" w:customStyle="1" w:styleId="CommentTextChar">
    <w:name w:val="Comment Text Char"/>
    <w:basedOn w:val="DefaultParagraphFont"/>
    <w:link w:val="CommentText"/>
    <w:uiPriority w:val="99"/>
    <w:rsid w:val="00C30729"/>
    <w:rPr>
      <w:sz w:val="20"/>
      <w:szCs w:val="20"/>
    </w:rPr>
  </w:style>
  <w:style w:type="table" w:styleId="GridTable4-Accent1">
    <w:name w:val="Grid Table 4 Accent 1"/>
    <w:basedOn w:val="TableNormal"/>
    <w:uiPriority w:val="49"/>
    <w:rsid w:val="0071330A"/>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F325F5"/>
  </w:style>
  <w:style w:type="character" w:customStyle="1" w:styleId="Mention1">
    <w:name w:val="Mention1"/>
    <w:basedOn w:val="DefaultParagraphFont"/>
    <w:uiPriority w:val="99"/>
    <w:semiHidden/>
    <w:unhideWhenUsed/>
    <w:rsid w:val="00F875AD"/>
    <w:rPr>
      <w:color w:val="2B579A"/>
      <w:shd w:val="clear" w:color="auto" w:fill="E6E6E6"/>
    </w:rPr>
  </w:style>
  <w:style w:type="table" w:styleId="GridTable4-Accent5">
    <w:name w:val="Grid Table 4 Accent 5"/>
    <w:basedOn w:val="TableNormal"/>
    <w:uiPriority w:val="49"/>
    <w:rsid w:val="005817ED"/>
    <w:rPr>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error">
    <w:name w:val="error"/>
    <w:basedOn w:val="DefaultParagraphFont"/>
    <w:rsid w:val="000C7A3E"/>
  </w:style>
  <w:style w:type="character" w:customStyle="1" w:styleId="UnresolvedMention1">
    <w:name w:val="Unresolved Mention1"/>
    <w:basedOn w:val="DefaultParagraphFont"/>
    <w:uiPriority w:val="99"/>
    <w:semiHidden/>
    <w:unhideWhenUsed/>
    <w:rsid w:val="00AB4FB8"/>
    <w:rPr>
      <w:color w:val="808080"/>
      <w:shd w:val="clear" w:color="auto" w:fill="E6E6E6"/>
    </w:rPr>
  </w:style>
  <w:style w:type="table" w:styleId="GridTable4-Accent2">
    <w:name w:val="Grid Table 4 Accent 2"/>
    <w:basedOn w:val="TableNormal"/>
    <w:uiPriority w:val="49"/>
    <w:rsid w:val="00924C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924C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741CC8"/>
  </w:style>
  <w:style w:type="paragraph" w:styleId="Caption">
    <w:name w:val="caption"/>
    <w:basedOn w:val="Normal"/>
    <w:next w:val="Normal"/>
    <w:uiPriority w:val="35"/>
    <w:unhideWhenUsed/>
    <w:qFormat/>
    <w:rsid w:val="00097202"/>
    <w:pPr>
      <w:spacing w:before="0" w:after="200" w:line="240" w:lineRule="auto"/>
    </w:pPr>
    <w:rPr>
      <w:i/>
      <w:iCs/>
      <w:color w:val="44546A" w:themeColor="text2"/>
      <w:sz w:val="18"/>
      <w:szCs w:val="18"/>
    </w:rPr>
  </w:style>
  <w:style w:type="paragraph" w:styleId="Title">
    <w:name w:val="Title"/>
    <w:basedOn w:val="Normal"/>
    <w:next w:val="Normal"/>
    <w:link w:val="TitleChar"/>
    <w:uiPriority w:val="10"/>
    <w:qFormat/>
    <w:rsid w:val="00D055B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5B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11EBE"/>
    <w:rPr>
      <w:b/>
      <w:bCs/>
      <w:smallCaps/>
      <w:color w:val="5B9BD5" w:themeColor="accent1"/>
      <w:spacing w:val="5"/>
    </w:rPr>
  </w:style>
  <w:style w:type="character" w:styleId="CommentReference">
    <w:name w:val="annotation reference"/>
    <w:basedOn w:val="DefaultParagraphFont"/>
    <w:uiPriority w:val="99"/>
    <w:semiHidden/>
    <w:unhideWhenUsed/>
    <w:rsid w:val="00BB3748"/>
    <w:rPr>
      <w:sz w:val="16"/>
      <w:szCs w:val="16"/>
    </w:rPr>
  </w:style>
  <w:style w:type="paragraph" w:styleId="CommentSubject">
    <w:name w:val="annotation subject"/>
    <w:basedOn w:val="CommentText"/>
    <w:next w:val="CommentText"/>
    <w:link w:val="CommentSubjectChar"/>
    <w:uiPriority w:val="99"/>
    <w:semiHidden/>
    <w:unhideWhenUsed/>
    <w:rsid w:val="00BB3748"/>
    <w:pPr>
      <w:spacing w:line="240" w:lineRule="auto"/>
    </w:pPr>
    <w:rPr>
      <w:b/>
      <w:bCs/>
    </w:rPr>
  </w:style>
  <w:style w:type="character" w:customStyle="1" w:styleId="CommentSubjectChar">
    <w:name w:val="Comment Subject Char"/>
    <w:basedOn w:val="CommentTextChar"/>
    <w:link w:val="CommentSubject"/>
    <w:uiPriority w:val="99"/>
    <w:semiHidden/>
    <w:rsid w:val="00BB3748"/>
    <w:rPr>
      <w:b/>
      <w:bCs/>
      <w:sz w:val="20"/>
      <w:szCs w:val="20"/>
    </w:rPr>
  </w:style>
  <w:style w:type="character" w:styleId="UnresolvedMention">
    <w:name w:val="Unresolved Mention"/>
    <w:basedOn w:val="DefaultParagraphFont"/>
    <w:uiPriority w:val="99"/>
    <w:semiHidden/>
    <w:unhideWhenUsed/>
    <w:rsid w:val="00BE5A5A"/>
    <w:rPr>
      <w:color w:val="605E5C"/>
      <w:shd w:val="clear" w:color="auto" w:fill="E1DFDD"/>
    </w:rPr>
  </w:style>
  <w:style w:type="character" w:styleId="Mention">
    <w:name w:val="Mention"/>
    <w:basedOn w:val="DefaultParagraphFont"/>
    <w:uiPriority w:val="99"/>
    <w:semiHidden/>
    <w:unhideWhenUsed/>
    <w:rsid w:val="00BE5A5A"/>
    <w:rPr>
      <w:color w:val="2B579A"/>
      <w:shd w:val="clear" w:color="auto" w:fill="E6E6E6"/>
    </w:rPr>
  </w:style>
  <w:style w:type="paragraph" w:styleId="Revision">
    <w:name w:val="Revision"/>
    <w:hidden/>
    <w:uiPriority w:val="99"/>
    <w:semiHidden/>
    <w:rsid w:val="00BE5A5A"/>
  </w:style>
  <w:style w:type="paragraph" w:customStyle="1" w:styleId="paragraph">
    <w:name w:val="paragraph"/>
    <w:basedOn w:val="Normal"/>
    <w:rsid w:val="00FE15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E1583"/>
  </w:style>
  <w:style w:type="character" w:customStyle="1" w:styleId="eop">
    <w:name w:val="eop"/>
    <w:basedOn w:val="DefaultParagraphFont"/>
    <w:rsid w:val="00FE1583"/>
  </w:style>
  <w:style w:type="table" w:styleId="GridTable5Dark-Accent1">
    <w:name w:val="Grid Table 5 Dark Accent 1"/>
    <w:basedOn w:val="TableNormal"/>
    <w:uiPriority w:val="50"/>
    <w:rsid w:val="00004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814">
      <w:bodyDiv w:val="1"/>
      <w:marLeft w:val="0"/>
      <w:marRight w:val="0"/>
      <w:marTop w:val="0"/>
      <w:marBottom w:val="0"/>
      <w:divBdr>
        <w:top w:val="none" w:sz="0" w:space="0" w:color="auto"/>
        <w:left w:val="none" w:sz="0" w:space="0" w:color="auto"/>
        <w:bottom w:val="none" w:sz="0" w:space="0" w:color="auto"/>
        <w:right w:val="none" w:sz="0" w:space="0" w:color="auto"/>
      </w:divBdr>
    </w:div>
    <w:div w:id="21323570">
      <w:bodyDiv w:val="1"/>
      <w:marLeft w:val="0"/>
      <w:marRight w:val="0"/>
      <w:marTop w:val="0"/>
      <w:marBottom w:val="0"/>
      <w:divBdr>
        <w:top w:val="none" w:sz="0" w:space="0" w:color="auto"/>
        <w:left w:val="none" w:sz="0" w:space="0" w:color="auto"/>
        <w:bottom w:val="none" w:sz="0" w:space="0" w:color="auto"/>
        <w:right w:val="none" w:sz="0" w:space="0" w:color="auto"/>
      </w:divBdr>
      <w:divsChild>
        <w:div w:id="751203874">
          <w:marLeft w:val="-225"/>
          <w:marRight w:val="-225"/>
          <w:marTop w:val="0"/>
          <w:marBottom w:val="0"/>
          <w:divBdr>
            <w:top w:val="none" w:sz="0" w:space="0" w:color="auto"/>
            <w:left w:val="none" w:sz="0" w:space="0" w:color="auto"/>
            <w:bottom w:val="none" w:sz="0" w:space="0" w:color="auto"/>
            <w:right w:val="none" w:sz="0" w:space="0" w:color="auto"/>
          </w:divBdr>
          <w:divsChild>
            <w:div w:id="1694376586">
              <w:marLeft w:val="0"/>
              <w:marRight w:val="0"/>
              <w:marTop w:val="0"/>
              <w:marBottom w:val="0"/>
              <w:divBdr>
                <w:top w:val="none" w:sz="0" w:space="0" w:color="auto"/>
                <w:left w:val="none" w:sz="0" w:space="0" w:color="auto"/>
                <w:bottom w:val="none" w:sz="0" w:space="0" w:color="auto"/>
                <w:right w:val="none" w:sz="0" w:space="0" w:color="auto"/>
              </w:divBdr>
              <w:divsChild>
                <w:div w:id="312952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2842755">
          <w:marLeft w:val="-225"/>
          <w:marRight w:val="-225"/>
          <w:marTop w:val="0"/>
          <w:marBottom w:val="0"/>
          <w:divBdr>
            <w:top w:val="none" w:sz="0" w:space="0" w:color="auto"/>
            <w:left w:val="none" w:sz="0" w:space="0" w:color="auto"/>
            <w:bottom w:val="none" w:sz="0" w:space="0" w:color="auto"/>
            <w:right w:val="none" w:sz="0" w:space="0" w:color="auto"/>
          </w:divBdr>
          <w:divsChild>
            <w:div w:id="948657404">
              <w:marLeft w:val="0"/>
              <w:marRight w:val="0"/>
              <w:marTop w:val="0"/>
              <w:marBottom w:val="0"/>
              <w:divBdr>
                <w:top w:val="none" w:sz="0" w:space="0" w:color="auto"/>
                <w:left w:val="none" w:sz="0" w:space="0" w:color="auto"/>
                <w:bottom w:val="none" w:sz="0" w:space="0" w:color="auto"/>
                <w:right w:val="none" w:sz="0" w:space="0" w:color="auto"/>
              </w:divBdr>
              <w:divsChild>
                <w:div w:id="6896421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7795014">
          <w:marLeft w:val="-225"/>
          <w:marRight w:val="-225"/>
          <w:marTop w:val="0"/>
          <w:marBottom w:val="0"/>
          <w:divBdr>
            <w:top w:val="none" w:sz="0" w:space="0" w:color="auto"/>
            <w:left w:val="none" w:sz="0" w:space="0" w:color="auto"/>
            <w:bottom w:val="none" w:sz="0" w:space="0" w:color="auto"/>
            <w:right w:val="none" w:sz="0" w:space="0" w:color="auto"/>
          </w:divBdr>
          <w:divsChild>
            <w:div w:id="1969585243">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9791791">
      <w:bodyDiv w:val="1"/>
      <w:marLeft w:val="0"/>
      <w:marRight w:val="0"/>
      <w:marTop w:val="0"/>
      <w:marBottom w:val="0"/>
      <w:divBdr>
        <w:top w:val="none" w:sz="0" w:space="0" w:color="auto"/>
        <w:left w:val="none" w:sz="0" w:space="0" w:color="auto"/>
        <w:bottom w:val="none" w:sz="0" w:space="0" w:color="auto"/>
        <w:right w:val="none" w:sz="0" w:space="0" w:color="auto"/>
      </w:divBdr>
    </w:div>
    <w:div w:id="86392598">
      <w:bodyDiv w:val="1"/>
      <w:marLeft w:val="0"/>
      <w:marRight w:val="0"/>
      <w:marTop w:val="0"/>
      <w:marBottom w:val="0"/>
      <w:divBdr>
        <w:top w:val="none" w:sz="0" w:space="0" w:color="auto"/>
        <w:left w:val="none" w:sz="0" w:space="0" w:color="auto"/>
        <w:bottom w:val="none" w:sz="0" w:space="0" w:color="auto"/>
        <w:right w:val="none" w:sz="0" w:space="0" w:color="auto"/>
      </w:divBdr>
    </w:div>
    <w:div w:id="98377100">
      <w:bodyDiv w:val="1"/>
      <w:marLeft w:val="0"/>
      <w:marRight w:val="0"/>
      <w:marTop w:val="0"/>
      <w:marBottom w:val="0"/>
      <w:divBdr>
        <w:top w:val="none" w:sz="0" w:space="0" w:color="auto"/>
        <w:left w:val="none" w:sz="0" w:space="0" w:color="auto"/>
        <w:bottom w:val="none" w:sz="0" w:space="0" w:color="auto"/>
        <w:right w:val="none" w:sz="0" w:space="0" w:color="auto"/>
      </w:divBdr>
    </w:div>
    <w:div w:id="101270817">
      <w:bodyDiv w:val="1"/>
      <w:marLeft w:val="0"/>
      <w:marRight w:val="0"/>
      <w:marTop w:val="0"/>
      <w:marBottom w:val="0"/>
      <w:divBdr>
        <w:top w:val="none" w:sz="0" w:space="0" w:color="auto"/>
        <w:left w:val="none" w:sz="0" w:space="0" w:color="auto"/>
        <w:bottom w:val="none" w:sz="0" w:space="0" w:color="auto"/>
        <w:right w:val="none" w:sz="0" w:space="0" w:color="auto"/>
      </w:divBdr>
    </w:div>
    <w:div w:id="108594791">
      <w:bodyDiv w:val="1"/>
      <w:marLeft w:val="0"/>
      <w:marRight w:val="0"/>
      <w:marTop w:val="0"/>
      <w:marBottom w:val="0"/>
      <w:divBdr>
        <w:top w:val="none" w:sz="0" w:space="0" w:color="auto"/>
        <w:left w:val="none" w:sz="0" w:space="0" w:color="auto"/>
        <w:bottom w:val="none" w:sz="0" w:space="0" w:color="auto"/>
        <w:right w:val="none" w:sz="0" w:space="0" w:color="auto"/>
      </w:divBdr>
    </w:div>
    <w:div w:id="113839756">
      <w:bodyDiv w:val="1"/>
      <w:marLeft w:val="0"/>
      <w:marRight w:val="0"/>
      <w:marTop w:val="0"/>
      <w:marBottom w:val="0"/>
      <w:divBdr>
        <w:top w:val="none" w:sz="0" w:space="0" w:color="auto"/>
        <w:left w:val="none" w:sz="0" w:space="0" w:color="auto"/>
        <w:bottom w:val="none" w:sz="0" w:space="0" w:color="auto"/>
        <w:right w:val="none" w:sz="0" w:space="0" w:color="auto"/>
      </w:divBdr>
    </w:div>
    <w:div w:id="148056016">
      <w:bodyDiv w:val="1"/>
      <w:marLeft w:val="0"/>
      <w:marRight w:val="0"/>
      <w:marTop w:val="0"/>
      <w:marBottom w:val="0"/>
      <w:divBdr>
        <w:top w:val="none" w:sz="0" w:space="0" w:color="auto"/>
        <w:left w:val="none" w:sz="0" w:space="0" w:color="auto"/>
        <w:bottom w:val="none" w:sz="0" w:space="0" w:color="auto"/>
        <w:right w:val="none" w:sz="0" w:space="0" w:color="auto"/>
      </w:divBdr>
    </w:div>
    <w:div w:id="157893466">
      <w:bodyDiv w:val="1"/>
      <w:marLeft w:val="0"/>
      <w:marRight w:val="0"/>
      <w:marTop w:val="0"/>
      <w:marBottom w:val="0"/>
      <w:divBdr>
        <w:top w:val="none" w:sz="0" w:space="0" w:color="auto"/>
        <w:left w:val="none" w:sz="0" w:space="0" w:color="auto"/>
        <w:bottom w:val="none" w:sz="0" w:space="0" w:color="auto"/>
        <w:right w:val="none" w:sz="0" w:space="0" w:color="auto"/>
      </w:divBdr>
    </w:div>
    <w:div w:id="251668229">
      <w:bodyDiv w:val="1"/>
      <w:marLeft w:val="0"/>
      <w:marRight w:val="0"/>
      <w:marTop w:val="0"/>
      <w:marBottom w:val="0"/>
      <w:divBdr>
        <w:top w:val="none" w:sz="0" w:space="0" w:color="auto"/>
        <w:left w:val="none" w:sz="0" w:space="0" w:color="auto"/>
        <w:bottom w:val="none" w:sz="0" w:space="0" w:color="auto"/>
        <w:right w:val="none" w:sz="0" w:space="0" w:color="auto"/>
      </w:divBdr>
    </w:div>
    <w:div w:id="272523449">
      <w:bodyDiv w:val="1"/>
      <w:marLeft w:val="0"/>
      <w:marRight w:val="0"/>
      <w:marTop w:val="0"/>
      <w:marBottom w:val="0"/>
      <w:divBdr>
        <w:top w:val="none" w:sz="0" w:space="0" w:color="auto"/>
        <w:left w:val="none" w:sz="0" w:space="0" w:color="auto"/>
        <w:bottom w:val="none" w:sz="0" w:space="0" w:color="auto"/>
        <w:right w:val="none" w:sz="0" w:space="0" w:color="auto"/>
      </w:divBdr>
    </w:div>
    <w:div w:id="288782664">
      <w:bodyDiv w:val="1"/>
      <w:marLeft w:val="0"/>
      <w:marRight w:val="0"/>
      <w:marTop w:val="0"/>
      <w:marBottom w:val="0"/>
      <w:divBdr>
        <w:top w:val="none" w:sz="0" w:space="0" w:color="auto"/>
        <w:left w:val="none" w:sz="0" w:space="0" w:color="auto"/>
        <w:bottom w:val="none" w:sz="0" w:space="0" w:color="auto"/>
        <w:right w:val="none" w:sz="0" w:space="0" w:color="auto"/>
      </w:divBdr>
    </w:div>
    <w:div w:id="305088179">
      <w:bodyDiv w:val="1"/>
      <w:marLeft w:val="0"/>
      <w:marRight w:val="0"/>
      <w:marTop w:val="0"/>
      <w:marBottom w:val="0"/>
      <w:divBdr>
        <w:top w:val="none" w:sz="0" w:space="0" w:color="auto"/>
        <w:left w:val="none" w:sz="0" w:space="0" w:color="auto"/>
        <w:bottom w:val="none" w:sz="0" w:space="0" w:color="auto"/>
        <w:right w:val="none" w:sz="0" w:space="0" w:color="auto"/>
      </w:divBdr>
    </w:div>
    <w:div w:id="314992593">
      <w:bodyDiv w:val="1"/>
      <w:marLeft w:val="0"/>
      <w:marRight w:val="0"/>
      <w:marTop w:val="0"/>
      <w:marBottom w:val="0"/>
      <w:divBdr>
        <w:top w:val="none" w:sz="0" w:space="0" w:color="auto"/>
        <w:left w:val="none" w:sz="0" w:space="0" w:color="auto"/>
        <w:bottom w:val="none" w:sz="0" w:space="0" w:color="auto"/>
        <w:right w:val="none" w:sz="0" w:space="0" w:color="auto"/>
      </w:divBdr>
    </w:div>
    <w:div w:id="315839375">
      <w:bodyDiv w:val="1"/>
      <w:marLeft w:val="0"/>
      <w:marRight w:val="0"/>
      <w:marTop w:val="0"/>
      <w:marBottom w:val="0"/>
      <w:divBdr>
        <w:top w:val="none" w:sz="0" w:space="0" w:color="auto"/>
        <w:left w:val="none" w:sz="0" w:space="0" w:color="auto"/>
        <w:bottom w:val="none" w:sz="0" w:space="0" w:color="auto"/>
        <w:right w:val="none" w:sz="0" w:space="0" w:color="auto"/>
      </w:divBdr>
    </w:div>
    <w:div w:id="321933394">
      <w:bodyDiv w:val="1"/>
      <w:marLeft w:val="0"/>
      <w:marRight w:val="0"/>
      <w:marTop w:val="0"/>
      <w:marBottom w:val="0"/>
      <w:divBdr>
        <w:top w:val="none" w:sz="0" w:space="0" w:color="auto"/>
        <w:left w:val="none" w:sz="0" w:space="0" w:color="auto"/>
        <w:bottom w:val="none" w:sz="0" w:space="0" w:color="auto"/>
        <w:right w:val="none" w:sz="0" w:space="0" w:color="auto"/>
      </w:divBdr>
    </w:div>
    <w:div w:id="377322408">
      <w:bodyDiv w:val="1"/>
      <w:marLeft w:val="0"/>
      <w:marRight w:val="0"/>
      <w:marTop w:val="0"/>
      <w:marBottom w:val="0"/>
      <w:divBdr>
        <w:top w:val="none" w:sz="0" w:space="0" w:color="auto"/>
        <w:left w:val="none" w:sz="0" w:space="0" w:color="auto"/>
        <w:bottom w:val="none" w:sz="0" w:space="0" w:color="auto"/>
        <w:right w:val="none" w:sz="0" w:space="0" w:color="auto"/>
      </w:divBdr>
    </w:div>
    <w:div w:id="394353821">
      <w:bodyDiv w:val="1"/>
      <w:marLeft w:val="0"/>
      <w:marRight w:val="0"/>
      <w:marTop w:val="0"/>
      <w:marBottom w:val="0"/>
      <w:divBdr>
        <w:top w:val="none" w:sz="0" w:space="0" w:color="auto"/>
        <w:left w:val="none" w:sz="0" w:space="0" w:color="auto"/>
        <w:bottom w:val="none" w:sz="0" w:space="0" w:color="auto"/>
        <w:right w:val="none" w:sz="0" w:space="0" w:color="auto"/>
      </w:divBdr>
    </w:div>
    <w:div w:id="409889119">
      <w:bodyDiv w:val="1"/>
      <w:marLeft w:val="0"/>
      <w:marRight w:val="0"/>
      <w:marTop w:val="0"/>
      <w:marBottom w:val="0"/>
      <w:divBdr>
        <w:top w:val="none" w:sz="0" w:space="0" w:color="auto"/>
        <w:left w:val="none" w:sz="0" w:space="0" w:color="auto"/>
        <w:bottom w:val="none" w:sz="0" w:space="0" w:color="auto"/>
        <w:right w:val="none" w:sz="0" w:space="0" w:color="auto"/>
      </w:divBdr>
    </w:div>
    <w:div w:id="426731051">
      <w:bodyDiv w:val="1"/>
      <w:marLeft w:val="0"/>
      <w:marRight w:val="0"/>
      <w:marTop w:val="0"/>
      <w:marBottom w:val="0"/>
      <w:divBdr>
        <w:top w:val="none" w:sz="0" w:space="0" w:color="auto"/>
        <w:left w:val="none" w:sz="0" w:space="0" w:color="auto"/>
        <w:bottom w:val="none" w:sz="0" w:space="0" w:color="auto"/>
        <w:right w:val="none" w:sz="0" w:space="0" w:color="auto"/>
      </w:divBdr>
    </w:div>
    <w:div w:id="470827456">
      <w:bodyDiv w:val="1"/>
      <w:marLeft w:val="0"/>
      <w:marRight w:val="0"/>
      <w:marTop w:val="0"/>
      <w:marBottom w:val="0"/>
      <w:divBdr>
        <w:top w:val="none" w:sz="0" w:space="0" w:color="auto"/>
        <w:left w:val="none" w:sz="0" w:space="0" w:color="auto"/>
        <w:bottom w:val="none" w:sz="0" w:space="0" w:color="auto"/>
        <w:right w:val="none" w:sz="0" w:space="0" w:color="auto"/>
      </w:divBdr>
    </w:div>
    <w:div w:id="526598682">
      <w:bodyDiv w:val="1"/>
      <w:marLeft w:val="0"/>
      <w:marRight w:val="0"/>
      <w:marTop w:val="0"/>
      <w:marBottom w:val="0"/>
      <w:divBdr>
        <w:top w:val="none" w:sz="0" w:space="0" w:color="auto"/>
        <w:left w:val="none" w:sz="0" w:space="0" w:color="auto"/>
        <w:bottom w:val="none" w:sz="0" w:space="0" w:color="auto"/>
        <w:right w:val="none" w:sz="0" w:space="0" w:color="auto"/>
      </w:divBdr>
    </w:div>
    <w:div w:id="531768538">
      <w:bodyDiv w:val="1"/>
      <w:marLeft w:val="0"/>
      <w:marRight w:val="0"/>
      <w:marTop w:val="0"/>
      <w:marBottom w:val="0"/>
      <w:divBdr>
        <w:top w:val="none" w:sz="0" w:space="0" w:color="auto"/>
        <w:left w:val="none" w:sz="0" w:space="0" w:color="auto"/>
        <w:bottom w:val="none" w:sz="0" w:space="0" w:color="auto"/>
        <w:right w:val="none" w:sz="0" w:space="0" w:color="auto"/>
      </w:divBdr>
    </w:div>
    <w:div w:id="601032930">
      <w:bodyDiv w:val="1"/>
      <w:marLeft w:val="0"/>
      <w:marRight w:val="0"/>
      <w:marTop w:val="0"/>
      <w:marBottom w:val="0"/>
      <w:divBdr>
        <w:top w:val="none" w:sz="0" w:space="0" w:color="auto"/>
        <w:left w:val="none" w:sz="0" w:space="0" w:color="auto"/>
        <w:bottom w:val="none" w:sz="0" w:space="0" w:color="auto"/>
        <w:right w:val="none" w:sz="0" w:space="0" w:color="auto"/>
      </w:divBdr>
    </w:div>
    <w:div w:id="603077548">
      <w:bodyDiv w:val="1"/>
      <w:marLeft w:val="0"/>
      <w:marRight w:val="0"/>
      <w:marTop w:val="0"/>
      <w:marBottom w:val="0"/>
      <w:divBdr>
        <w:top w:val="none" w:sz="0" w:space="0" w:color="auto"/>
        <w:left w:val="none" w:sz="0" w:space="0" w:color="auto"/>
        <w:bottom w:val="none" w:sz="0" w:space="0" w:color="auto"/>
        <w:right w:val="none" w:sz="0" w:space="0" w:color="auto"/>
      </w:divBdr>
    </w:div>
    <w:div w:id="619922761">
      <w:bodyDiv w:val="1"/>
      <w:marLeft w:val="0"/>
      <w:marRight w:val="0"/>
      <w:marTop w:val="0"/>
      <w:marBottom w:val="0"/>
      <w:divBdr>
        <w:top w:val="none" w:sz="0" w:space="0" w:color="auto"/>
        <w:left w:val="none" w:sz="0" w:space="0" w:color="auto"/>
        <w:bottom w:val="none" w:sz="0" w:space="0" w:color="auto"/>
        <w:right w:val="none" w:sz="0" w:space="0" w:color="auto"/>
      </w:divBdr>
    </w:div>
    <w:div w:id="649094676">
      <w:bodyDiv w:val="1"/>
      <w:marLeft w:val="0"/>
      <w:marRight w:val="0"/>
      <w:marTop w:val="0"/>
      <w:marBottom w:val="0"/>
      <w:divBdr>
        <w:top w:val="none" w:sz="0" w:space="0" w:color="auto"/>
        <w:left w:val="none" w:sz="0" w:space="0" w:color="auto"/>
        <w:bottom w:val="none" w:sz="0" w:space="0" w:color="auto"/>
        <w:right w:val="none" w:sz="0" w:space="0" w:color="auto"/>
      </w:divBdr>
    </w:div>
    <w:div w:id="676155761">
      <w:bodyDiv w:val="1"/>
      <w:marLeft w:val="0"/>
      <w:marRight w:val="0"/>
      <w:marTop w:val="0"/>
      <w:marBottom w:val="0"/>
      <w:divBdr>
        <w:top w:val="none" w:sz="0" w:space="0" w:color="auto"/>
        <w:left w:val="none" w:sz="0" w:space="0" w:color="auto"/>
        <w:bottom w:val="none" w:sz="0" w:space="0" w:color="auto"/>
        <w:right w:val="none" w:sz="0" w:space="0" w:color="auto"/>
      </w:divBdr>
    </w:div>
    <w:div w:id="698513811">
      <w:bodyDiv w:val="1"/>
      <w:marLeft w:val="0"/>
      <w:marRight w:val="0"/>
      <w:marTop w:val="0"/>
      <w:marBottom w:val="0"/>
      <w:divBdr>
        <w:top w:val="none" w:sz="0" w:space="0" w:color="auto"/>
        <w:left w:val="none" w:sz="0" w:space="0" w:color="auto"/>
        <w:bottom w:val="none" w:sz="0" w:space="0" w:color="auto"/>
        <w:right w:val="none" w:sz="0" w:space="0" w:color="auto"/>
      </w:divBdr>
    </w:div>
    <w:div w:id="699360661">
      <w:bodyDiv w:val="1"/>
      <w:marLeft w:val="0"/>
      <w:marRight w:val="0"/>
      <w:marTop w:val="0"/>
      <w:marBottom w:val="0"/>
      <w:divBdr>
        <w:top w:val="none" w:sz="0" w:space="0" w:color="auto"/>
        <w:left w:val="none" w:sz="0" w:space="0" w:color="auto"/>
        <w:bottom w:val="none" w:sz="0" w:space="0" w:color="auto"/>
        <w:right w:val="none" w:sz="0" w:space="0" w:color="auto"/>
      </w:divBdr>
    </w:div>
    <w:div w:id="724108770">
      <w:bodyDiv w:val="1"/>
      <w:marLeft w:val="0"/>
      <w:marRight w:val="0"/>
      <w:marTop w:val="0"/>
      <w:marBottom w:val="0"/>
      <w:divBdr>
        <w:top w:val="none" w:sz="0" w:space="0" w:color="auto"/>
        <w:left w:val="none" w:sz="0" w:space="0" w:color="auto"/>
        <w:bottom w:val="none" w:sz="0" w:space="0" w:color="auto"/>
        <w:right w:val="none" w:sz="0" w:space="0" w:color="auto"/>
      </w:divBdr>
    </w:div>
    <w:div w:id="733892381">
      <w:bodyDiv w:val="1"/>
      <w:marLeft w:val="0"/>
      <w:marRight w:val="0"/>
      <w:marTop w:val="0"/>
      <w:marBottom w:val="0"/>
      <w:divBdr>
        <w:top w:val="none" w:sz="0" w:space="0" w:color="auto"/>
        <w:left w:val="none" w:sz="0" w:space="0" w:color="auto"/>
        <w:bottom w:val="none" w:sz="0" w:space="0" w:color="auto"/>
        <w:right w:val="none" w:sz="0" w:space="0" w:color="auto"/>
      </w:divBdr>
    </w:div>
    <w:div w:id="743917295">
      <w:bodyDiv w:val="1"/>
      <w:marLeft w:val="0"/>
      <w:marRight w:val="0"/>
      <w:marTop w:val="0"/>
      <w:marBottom w:val="0"/>
      <w:divBdr>
        <w:top w:val="none" w:sz="0" w:space="0" w:color="auto"/>
        <w:left w:val="none" w:sz="0" w:space="0" w:color="auto"/>
        <w:bottom w:val="none" w:sz="0" w:space="0" w:color="auto"/>
        <w:right w:val="none" w:sz="0" w:space="0" w:color="auto"/>
      </w:divBdr>
    </w:div>
    <w:div w:id="744227692">
      <w:bodyDiv w:val="1"/>
      <w:marLeft w:val="0"/>
      <w:marRight w:val="0"/>
      <w:marTop w:val="0"/>
      <w:marBottom w:val="0"/>
      <w:divBdr>
        <w:top w:val="none" w:sz="0" w:space="0" w:color="auto"/>
        <w:left w:val="none" w:sz="0" w:space="0" w:color="auto"/>
        <w:bottom w:val="none" w:sz="0" w:space="0" w:color="auto"/>
        <w:right w:val="none" w:sz="0" w:space="0" w:color="auto"/>
      </w:divBdr>
    </w:div>
    <w:div w:id="746153566">
      <w:bodyDiv w:val="1"/>
      <w:marLeft w:val="0"/>
      <w:marRight w:val="0"/>
      <w:marTop w:val="0"/>
      <w:marBottom w:val="0"/>
      <w:divBdr>
        <w:top w:val="none" w:sz="0" w:space="0" w:color="auto"/>
        <w:left w:val="none" w:sz="0" w:space="0" w:color="auto"/>
        <w:bottom w:val="none" w:sz="0" w:space="0" w:color="auto"/>
        <w:right w:val="none" w:sz="0" w:space="0" w:color="auto"/>
      </w:divBdr>
    </w:div>
    <w:div w:id="760108032">
      <w:bodyDiv w:val="1"/>
      <w:marLeft w:val="0"/>
      <w:marRight w:val="0"/>
      <w:marTop w:val="0"/>
      <w:marBottom w:val="0"/>
      <w:divBdr>
        <w:top w:val="none" w:sz="0" w:space="0" w:color="auto"/>
        <w:left w:val="none" w:sz="0" w:space="0" w:color="auto"/>
        <w:bottom w:val="none" w:sz="0" w:space="0" w:color="auto"/>
        <w:right w:val="none" w:sz="0" w:space="0" w:color="auto"/>
      </w:divBdr>
    </w:div>
    <w:div w:id="821310720">
      <w:bodyDiv w:val="1"/>
      <w:marLeft w:val="0"/>
      <w:marRight w:val="0"/>
      <w:marTop w:val="0"/>
      <w:marBottom w:val="0"/>
      <w:divBdr>
        <w:top w:val="none" w:sz="0" w:space="0" w:color="auto"/>
        <w:left w:val="none" w:sz="0" w:space="0" w:color="auto"/>
        <w:bottom w:val="none" w:sz="0" w:space="0" w:color="auto"/>
        <w:right w:val="none" w:sz="0" w:space="0" w:color="auto"/>
      </w:divBdr>
    </w:div>
    <w:div w:id="834498114">
      <w:bodyDiv w:val="1"/>
      <w:marLeft w:val="0"/>
      <w:marRight w:val="0"/>
      <w:marTop w:val="0"/>
      <w:marBottom w:val="0"/>
      <w:divBdr>
        <w:top w:val="none" w:sz="0" w:space="0" w:color="auto"/>
        <w:left w:val="none" w:sz="0" w:space="0" w:color="auto"/>
        <w:bottom w:val="none" w:sz="0" w:space="0" w:color="auto"/>
        <w:right w:val="none" w:sz="0" w:space="0" w:color="auto"/>
      </w:divBdr>
    </w:div>
    <w:div w:id="837312512">
      <w:bodyDiv w:val="1"/>
      <w:marLeft w:val="0"/>
      <w:marRight w:val="0"/>
      <w:marTop w:val="0"/>
      <w:marBottom w:val="0"/>
      <w:divBdr>
        <w:top w:val="none" w:sz="0" w:space="0" w:color="auto"/>
        <w:left w:val="none" w:sz="0" w:space="0" w:color="auto"/>
        <w:bottom w:val="none" w:sz="0" w:space="0" w:color="auto"/>
        <w:right w:val="none" w:sz="0" w:space="0" w:color="auto"/>
      </w:divBdr>
    </w:div>
    <w:div w:id="849442821">
      <w:bodyDiv w:val="1"/>
      <w:marLeft w:val="0"/>
      <w:marRight w:val="0"/>
      <w:marTop w:val="0"/>
      <w:marBottom w:val="0"/>
      <w:divBdr>
        <w:top w:val="none" w:sz="0" w:space="0" w:color="auto"/>
        <w:left w:val="none" w:sz="0" w:space="0" w:color="auto"/>
        <w:bottom w:val="none" w:sz="0" w:space="0" w:color="auto"/>
        <w:right w:val="none" w:sz="0" w:space="0" w:color="auto"/>
      </w:divBdr>
    </w:div>
    <w:div w:id="871184905">
      <w:bodyDiv w:val="1"/>
      <w:marLeft w:val="0"/>
      <w:marRight w:val="0"/>
      <w:marTop w:val="0"/>
      <w:marBottom w:val="0"/>
      <w:divBdr>
        <w:top w:val="none" w:sz="0" w:space="0" w:color="auto"/>
        <w:left w:val="none" w:sz="0" w:space="0" w:color="auto"/>
        <w:bottom w:val="none" w:sz="0" w:space="0" w:color="auto"/>
        <w:right w:val="none" w:sz="0" w:space="0" w:color="auto"/>
      </w:divBdr>
    </w:div>
    <w:div w:id="895238444">
      <w:bodyDiv w:val="1"/>
      <w:marLeft w:val="0"/>
      <w:marRight w:val="0"/>
      <w:marTop w:val="0"/>
      <w:marBottom w:val="0"/>
      <w:divBdr>
        <w:top w:val="none" w:sz="0" w:space="0" w:color="auto"/>
        <w:left w:val="none" w:sz="0" w:space="0" w:color="auto"/>
        <w:bottom w:val="none" w:sz="0" w:space="0" w:color="auto"/>
        <w:right w:val="none" w:sz="0" w:space="0" w:color="auto"/>
      </w:divBdr>
    </w:div>
    <w:div w:id="909193775">
      <w:bodyDiv w:val="1"/>
      <w:marLeft w:val="0"/>
      <w:marRight w:val="0"/>
      <w:marTop w:val="0"/>
      <w:marBottom w:val="0"/>
      <w:divBdr>
        <w:top w:val="none" w:sz="0" w:space="0" w:color="auto"/>
        <w:left w:val="none" w:sz="0" w:space="0" w:color="auto"/>
        <w:bottom w:val="none" w:sz="0" w:space="0" w:color="auto"/>
        <w:right w:val="none" w:sz="0" w:space="0" w:color="auto"/>
      </w:divBdr>
    </w:div>
    <w:div w:id="975182471">
      <w:bodyDiv w:val="1"/>
      <w:marLeft w:val="0"/>
      <w:marRight w:val="0"/>
      <w:marTop w:val="0"/>
      <w:marBottom w:val="0"/>
      <w:divBdr>
        <w:top w:val="none" w:sz="0" w:space="0" w:color="auto"/>
        <w:left w:val="none" w:sz="0" w:space="0" w:color="auto"/>
        <w:bottom w:val="none" w:sz="0" w:space="0" w:color="auto"/>
        <w:right w:val="none" w:sz="0" w:space="0" w:color="auto"/>
      </w:divBdr>
    </w:div>
    <w:div w:id="977413547">
      <w:bodyDiv w:val="1"/>
      <w:marLeft w:val="0"/>
      <w:marRight w:val="0"/>
      <w:marTop w:val="0"/>
      <w:marBottom w:val="0"/>
      <w:divBdr>
        <w:top w:val="none" w:sz="0" w:space="0" w:color="auto"/>
        <w:left w:val="none" w:sz="0" w:space="0" w:color="auto"/>
        <w:bottom w:val="none" w:sz="0" w:space="0" w:color="auto"/>
        <w:right w:val="none" w:sz="0" w:space="0" w:color="auto"/>
      </w:divBdr>
    </w:div>
    <w:div w:id="980958585">
      <w:bodyDiv w:val="1"/>
      <w:marLeft w:val="0"/>
      <w:marRight w:val="0"/>
      <w:marTop w:val="0"/>
      <w:marBottom w:val="0"/>
      <w:divBdr>
        <w:top w:val="none" w:sz="0" w:space="0" w:color="auto"/>
        <w:left w:val="none" w:sz="0" w:space="0" w:color="auto"/>
        <w:bottom w:val="none" w:sz="0" w:space="0" w:color="auto"/>
        <w:right w:val="none" w:sz="0" w:space="0" w:color="auto"/>
      </w:divBdr>
    </w:div>
    <w:div w:id="981614050">
      <w:bodyDiv w:val="1"/>
      <w:marLeft w:val="0"/>
      <w:marRight w:val="0"/>
      <w:marTop w:val="0"/>
      <w:marBottom w:val="0"/>
      <w:divBdr>
        <w:top w:val="none" w:sz="0" w:space="0" w:color="auto"/>
        <w:left w:val="none" w:sz="0" w:space="0" w:color="auto"/>
        <w:bottom w:val="none" w:sz="0" w:space="0" w:color="auto"/>
        <w:right w:val="none" w:sz="0" w:space="0" w:color="auto"/>
      </w:divBdr>
    </w:div>
    <w:div w:id="1027605305">
      <w:bodyDiv w:val="1"/>
      <w:marLeft w:val="0"/>
      <w:marRight w:val="0"/>
      <w:marTop w:val="0"/>
      <w:marBottom w:val="0"/>
      <w:divBdr>
        <w:top w:val="none" w:sz="0" w:space="0" w:color="auto"/>
        <w:left w:val="none" w:sz="0" w:space="0" w:color="auto"/>
        <w:bottom w:val="none" w:sz="0" w:space="0" w:color="auto"/>
        <w:right w:val="none" w:sz="0" w:space="0" w:color="auto"/>
      </w:divBdr>
    </w:div>
    <w:div w:id="1041441155">
      <w:bodyDiv w:val="1"/>
      <w:marLeft w:val="0"/>
      <w:marRight w:val="0"/>
      <w:marTop w:val="0"/>
      <w:marBottom w:val="0"/>
      <w:divBdr>
        <w:top w:val="none" w:sz="0" w:space="0" w:color="auto"/>
        <w:left w:val="none" w:sz="0" w:space="0" w:color="auto"/>
        <w:bottom w:val="none" w:sz="0" w:space="0" w:color="auto"/>
        <w:right w:val="none" w:sz="0" w:space="0" w:color="auto"/>
      </w:divBdr>
    </w:div>
    <w:div w:id="1049064796">
      <w:bodyDiv w:val="1"/>
      <w:marLeft w:val="0"/>
      <w:marRight w:val="0"/>
      <w:marTop w:val="0"/>
      <w:marBottom w:val="0"/>
      <w:divBdr>
        <w:top w:val="none" w:sz="0" w:space="0" w:color="auto"/>
        <w:left w:val="none" w:sz="0" w:space="0" w:color="auto"/>
        <w:bottom w:val="none" w:sz="0" w:space="0" w:color="auto"/>
        <w:right w:val="none" w:sz="0" w:space="0" w:color="auto"/>
      </w:divBdr>
    </w:div>
    <w:div w:id="1050374787">
      <w:bodyDiv w:val="1"/>
      <w:marLeft w:val="0"/>
      <w:marRight w:val="0"/>
      <w:marTop w:val="0"/>
      <w:marBottom w:val="0"/>
      <w:divBdr>
        <w:top w:val="none" w:sz="0" w:space="0" w:color="auto"/>
        <w:left w:val="none" w:sz="0" w:space="0" w:color="auto"/>
        <w:bottom w:val="none" w:sz="0" w:space="0" w:color="auto"/>
        <w:right w:val="none" w:sz="0" w:space="0" w:color="auto"/>
      </w:divBdr>
    </w:div>
    <w:div w:id="1061174229">
      <w:bodyDiv w:val="1"/>
      <w:marLeft w:val="0"/>
      <w:marRight w:val="0"/>
      <w:marTop w:val="0"/>
      <w:marBottom w:val="0"/>
      <w:divBdr>
        <w:top w:val="none" w:sz="0" w:space="0" w:color="auto"/>
        <w:left w:val="none" w:sz="0" w:space="0" w:color="auto"/>
        <w:bottom w:val="none" w:sz="0" w:space="0" w:color="auto"/>
        <w:right w:val="none" w:sz="0" w:space="0" w:color="auto"/>
      </w:divBdr>
    </w:div>
    <w:div w:id="1079450641">
      <w:bodyDiv w:val="1"/>
      <w:marLeft w:val="0"/>
      <w:marRight w:val="0"/>
      <w:marTop w:val="0"/>
      <w:marBottom w:val="0"/>
      <w:divBdr>
        <w:top w:val="none" w:sz="0" w:space="0" w:color="auto"/>
        <w:left w:val="none" w:sz="0" w:space="0" w:color="auto"/>
        <w:bottom w:val="none" w:sz="0" w:space="0" w:color="auto"/>
        <w:right w:val="none" w:sz="0" w:space="0" w:color="auto"/>
      </w:divBdr>
    </w:div>
    <w:div w:id="1157191617">
      <w:bodyDiv w:val="1"/>
      <w:marLeft w:val="0"/>
      <w:marRight w:val="0"/>
      <w:marTop w:val="0"/>
      <w:marBottom w:val="0"/>
      <w:divBdr>
        <w:top w:val="none" w:sz="0" w:space="0" w:color="auto"/>
        <w:left w:val="none" w:sz="0" w:space="0" w:color="auto"/>
        <w:bottom w:val="none" w:sz="0" w:space="0" w:color="auto"/>
        <w:right w:val="none" w:sz="0" w:space="0" w:color="auto"/>
      </w:divBdr>
    </w:div>
    <w:div w:id="1168249592">
      <w:bodyDiv w:val="1"/>
      <w:marLeft w:val="0"/>
      <w:marRight w:val="0"/>
      <w:marTop w:val="0"/>
      <w:marBottom w:val="0"/>
      <w:divBdr>
        <w:top w:val="none" w:sz="0" w:space="0" w:color="auto"/>
        <w:left w:val="none" w:sz="0" w:space="0" w:color="auto"/>
        <w:bottom w:val="none" w:sz="0" w:space="0" w:color="auto"/>
        <w:right w:val="none" w:sz="0" w:space="0" w:color="auto"/>
      </w:divBdr>
      <w:divsChild>
        <w:div w:id="760491854">
          <w:marLeft w:val="0"/>
          <w:marRight w:val="0"/>
          <w:marTop w:val="0"/>
          <w:marBottom w:val="0"/>
          <w:divBdr>
            <w:top w:val="none" w:sz="0" w:space="0" w:color="auto"/>
            <w:left w:val="none" w:sz="0" w:space="0" w:color="auto"/>
            <w:bottom w:val="none" w:sz="0" w:space="0" w:color="auto"/>
            <w:right w:val="none" w:sz="0" w:space="0" w:color="auto"/>
          </w:divBdr>
          <w:divsChild>
            <w:div w:id="152451507">
              <w:marLeft w:val="0"/>
              <w:marRight w:val="0"/>
              <w:marTop w:val="0"/>
              <w:marBottom w:val="0"/>
              <w:divBdr>
                <w:top w:val="none" w:sz="0" w:space="0" w:color="auto"/>
                <w:left w:val="none" w:sz="0" w:space="0" w:color="auto"/>
                <w:bottom w:val="none" w:sz="0" w:space="0" w:color="auto"/>
                <w:right w:val="none" w:sz="0" w:space="0" w:color="auto"/>
              </w:divBdr>
            </w:div>
            <w:div w:id="468474420">
              <w:marLeft w:val="0"/>
              <w:marRight w:val="0"/>
              <w:marTop w:val="0"/>
              <w:marBottom w:val="0"/>
              <w:divBdr>
                <w:top w:val="none" w:sz="0" w:space="0" w:color="auto"/>
                <w:left w:val="none" w:sz="0" w:space="0" w:color="auto"/>
                <w:bottom w:val="none" w:sz="0" w:space="0" w:color="auto"/>
                <w:right w:val="none" w:sz="0" w:space="0" w:color="auto"/>
              </w:divBdr>
            </w:div>
          </w:divsChild>
        </w:div>
        <w:div w:id="1823738879">
          <w:marLeft w:val="0"/>
          <w:marRight w:val="0"/>
          <w:marTop w:val="0"/>
          <w:marBottom w:val="0"/>
          <w:divBdr>
            <w:top w:val="none" w:sz="0" w:space="0" w:color="auto"/>
            <w:left w:val="none" w:sz="0" w:space="0" w:color="auto"/>
            <w:bottom w:val="none" w:sz="0" w:space="0" w:color="auto"/>
            <w:right w:val="none" w:sz="0" w:space="0" w:color="auto"/>
          </w:divBdr>
          <w:divsChild>
            <w:div w:id="498276246">
              <w:marLeft w:val="0"/>
              <w:marRight w:val="0"/>
              <w:marTop w:val="0"/>
              <w:marBottom w:val="0"/>
              <w:divBdr>
                <w:top w:val="none" w:sz="0" w:space="0" w:color="auto"/>
                <w:left w:val="none" w:sz="0" w:space="0" w:color="auto"/>
                <w:bottom w:val="none" w:sz="0" w:space="0" w:color="auto"/>
                <w:right w:val="none" w:sz="0" w:space="0" w:color="auto"/>
              </w:divBdr>
              <w:divsChild>
                <w:div w:id="1300264114">
                  <w:marLeft w:val="0"/>
                  <w:marRight w:val="0"/>
                  <w:marTop w:val="0"/>
                  <w:marBottom w:val="0"/>
                  <w:divBdr>
                    <w:top w:val="none" w:sz="0" w:space="0" w:color="auto"/>
                    <w:left w:val="none" w:sz="0" w:space="0" w:color="auto"/>
                    <w:bottom w:val="none" w:sz="0" w:space="0" w:color="auto"/>
                    <w:right w:val="none" w:sz="0" w:space="0" w:color="auto"/>
                  </w:divBdr>
                  <w:divsChild>
                    <w:div w:id="1349023180">
                      <w:marLeft w:val="0"/>
                      <w:marRight w:val="0"/>
                      <w:marTop w:val="0"/>
                      <w:marBottom w:val="0"/>
                      <w:divBdr>
                        <w:top w:val="none" w:sz="0" w:space="0" w:color="auto"/>
                        <w:left w:val="none" w:sz="0" w:space="0" w:color="auto"/>
                        <w:bottom w:val="none" w:sz="0" w:space="0" w:color="auto"/>
                        <w:right w:val="none" w:sz="0" w:space="0" w:color="auto"/>
                      </w:divBdr>
                    </w:div>
                  </w:divsChild>
                </w:div>
                <w:div w:id="1804956435">
                  <w:marLeft w:val="0"/>
                  <w:marRight w:val="0"/>
                  <w:marTop w:val="0"/>
                  <w:marBottom w:val="0"/>
                  <w:divBdr>
                    <w:top w:val="none" w:sz="0" w:space="0" w:color="auto"/>
                    <w:left w:val="none" w:sz="0" w:space="0" w:color="auto"/>
                    <w:bottom w:val="none" w:sz="0" w:space="0" w:color="auto"/>
                    <w:right w:val="none" w:sz="0" w:space="0" w:color="auto"/>
                  </w:divBdr>
                  <w:divsChild>
                    <w:div w:id="108010901">
                      <w:marLeft w:val="0"/>
                      <w:marRight w:val="0"/>
                      <w:marTop w:val="0"/>
                      <w:marBottom w:val="0"/>
                      <w:divBdr>
                        <w:top w:val="none" w:sz="0" w:space="0" w:color="auto"/>
                        <w:left w:val="none" w:sz="0" w:space="0" w:color="auto"/>
                        <w:bottom w:val="none" w:sz="0" w:space="0" w:color="auto"/>
                        <w:right w:val="none" w:sz="0" w:space="0" w:color="auto"/>
                      </w:divBdr>
                    </w:div>
                  </w:divsChild>
                </w:div>
                <w:div w:id="344408461">
                  <w:marLeft w:val="0"/>
                  <w:marRight w:val="0"/>
                  <w:marTop w:val="0"/>
                  <w:marBottom w:val="0"/>
                  <w:divBdr>
                    <w:top w:val="none" w:sz="0" w:space="0" w:color="auto"/>
                    <w:left w:val="none" w:sz="0" w:space="0" w:color="auto"/>
                    <w:bottom w:val="none" w:sz="0" w:space="0" w:color="auto"/>
                    <w:right w:val="none" w:sz="0" w:space="0" w:color="auto"/>
                  </w:divBdr>
                  <w:divsChild>
                    <w:div w:id="932972912">
                      <w:marLeft w:val="0"/>
                      <w:marRight w:val="0"/>
                      <w:marTop w:val="0"/>
                      <w:marBottom w:val="0"/>
                      <w:divBdr>
                        <w:top w:val="none" w:sz="0" w:space="0" w:color="auto"/>
                        <w:left w:val="none" w:sz="0" w:space="0" w:color="auto"/>
                        <w:bottom w:val="none" w:sz="0" w:space="0" w:color="auto"/>
                        <w:right w:val="none" w:sz="0" w:space="0" w:color="auto"/>
                      </w:divBdr>
                    </w:div>
                  </w:divsChild>
                </w:div>
                <w:div w:id="1851262824">
                  <w:marLeft w:val="0"/>
                  <w:marRight w:val="0"/>
                  <w:marTop w:val="0"/>
                  <w:marBottom w:val="0"/>
                  <w:divBdr>
                    <w:top w:val="none" w:sz="0" w:space="0" w:color="auto"/>
                    <w:left w:val="none" w:sz="0" w:space="0" w:color="auto"/>
                    <w:bottom w:val="none" w:sz="0" w:space="0" w:color="auto"/>
                    <w:right w:val="none" w:sz="0" w:space="0" w:color="auto"/>
                  </w:divBdr>
                  <w:divsChild>
                    <w:div w:id="1183974402">
                      <w:marLeft w:val="0"/>
                      <w:marRight w:val="0"/>
                      <w:marTop w:val="0"/>
                      <w:marBottom w:val="0"/>
                      <w:divBdr>
                        <w:top w:val="none" w:sz="0" w:space="0" w:color="auto"/>
                        <w:left w:val="none" w:sz="0" w:space="0" w:color="auto"/>
                        <w:bottom w:val="none" w:sz="0" w:space="0" w:color="auto"/>
                        <w:right w:val="none" w:sz="0" w:space="0" w:color="auto"/>
                      </w:divBdr>
                    </w:div>
                    <w:div w:id="1306356801">
                      <w:marLeft w:val="0"/>
                      <w:marRight w:val="0"/>
                      <w:marTop w:val="0"/>
                      <w:marBottom w:val="0"/>
                      <w:divBdr>
                        <w:top w:val="none" w:sz="0" w:space="0" w:color="auto"/>
                        <w:left w:val="none" w:sz="0" w:space="0" w:color="auto"/>
                        <w:bottom w:val="none" w:sz="0" w:space="0" w:color="auto"/>
                        <w:right w:val="none" w:sz="0" w:space="0" w:color="auto"/>
                      </w:divBdr>
                    </w:div>
                    <w:div w:id="267812425">
                      <w:marLeft w:val="0"/>
                      <w:marRight w:val="0"/>
                      <w:marTop w:val="0"/>
                      <w:marBottom w:val="0"/>
                      <w:divBdr>
                        <w:top w:val="none" w:sz="0" w:space="0" w:color="auto"/>
                        <w:left w:val="none" w:sz="0" w:space="0" w:color="auto"/>
                        <w:bottom w:val="none" w:sz="0" w:space="0" w:color="auto"/>
                        <w:right w:val="none" w:sz="0" w:space="0" w:color="auto"/>
                      </w:divBdr>
                    </w:div>
                    <w:div w:id="1682471664">
                      <w:marLeft w:val="0"/>
                      <w:marRight w:val="0"/>
                      <w:marTop w:val="0"/>
                      <w:marBottom w:val="0"/>
                      <w:divBdr>
                        <w:top w:val="none" w:sz="0" w:space="0" w:color="auto"/>
                        <w:left w:val="none" w:sz="0" w:space="0" w:color="auto"/>
                        <w:bottom w:val="none" w:sz="0" w:space="0" w:color="auto"/>
                        <w:right w:val="none" w:sz="0" w:space="0" w:color="auto"/>
                      </w:divBdr>
                    </w:div>
                  </w:divsChild>
                </w:div>
                <w:div w:id="932008940">
                  <w:marLeft w:val="0"/>
                  <w:marRight w:val="0"/>
                  <w:marTop w:val="0"/>
                  <w:marBottom w:val="0"/>
                  <w:divBdr>
                    <w:top w:val="none" w:sz="0" w:space="0" w:color="auto"/>
                    <w:left w:val="none" w:sz="0" w:space="0" w:color="auto"/>
                    <w:bottom w:val="none" w:sz="0" w:space="0" w:color="auto"/>
                    <w:right w:val="none" w:sz="0" w:space="0" w:color="auto"/>
                  </w:divBdr>
                  <w:divsChild>
                    <w:div w:id="953512726">
                      <w:marLeft w:val="0"/>
                      <w:marRight w:val="0"/>
                      <w:marTop w:val="0"/>
                      <w:marBottom w:val="0"/>
                      <w:divBdr>
                        <w:top w:val="none" w:sz="0" w:space="0" w:color="auto"/>
                        <w:left w:val="none" w:sz="0" w:space="0" w:color="auto"/>
                        <w:bottom w:val="none" w:sz="0" w:space="0" w:color="auto"/>
                        <w:right w:val="none" w:sz="0" w:space="0" w:color="auto"/>
                      </w:divBdr>
                    </w:div>
                  </w:divsChild>
                </w:div>
                <w:div w:id="300310047">
                  <w:marLeft w:val="0"/>
                  <w:marRight w:val="0"/>
                  <w:marTop w:val="0"/>
                  <w:marBottom w:val="0"/>
                  <w:divBdr>
                    <w:top w:val="none" w:sz="0" w:space="0" w:color="auto"/>
                    <w:left w:val="none" w:sz="0" w:space="0" w:color="auto"/>
                    <w:bottom w:val="none" w:sz="0" w:space="0" w:color="auto"/>
                    <w:right w:val="none" w:sz="0" w:space="0" w:color="auto"/>
                  </w:divBdr>
                  <w:divsChild>
                    <w:div w:id="534344352">
                      <w:marLeft w:val="0"/>
                      <w:marRight w:val="0"/>
                      <w:marTop w:val="0"/>
                      <w:marBottom w:val="0"/>
                      <w:divBdr>
                        <w:top w:val="none" w:sz="0" w:space="0" w:color="auto"/>
                        <w:left w:val="none" w:sz="0" w:space="0" w:color="auto"/>
                        <w:bottom w:val="none" w:sz="0" w:space="0" w:color="auto"/>
                        <w:right w:val="none" w:sz="0" w:space="0" w:color="auto"/>
                      </w:divBdr>
                    </w:div>
                    <w:div w:id="91513863">
                      <w:marLeft w:val="0"/>
                      <w:marRight w:val="0"/>
                      <w:marTop w:val="0"/>
                      <w:marBottom w:val="0"/>
                      <w:divBdr>
                        <w:top w:val="none" w:sz="0" w:space="0" w:color="auto"/>
                        <w:left w:val="none" w:sz="0" w:space="0" w:color="auto"/>
                        <w:bottom w:val="none" w:sz="0" w:space="0" w:color="auto"/>
                        <w:right w:val="none" w:sz="0" w:space="0" w:color="auto"/>
                      </w:divBdr>
                    </w:div>
                  </w:divsChild>
                </w:div>
                <w:div w:id="57830031">
                  <w:marLeft w:val="0"/>
                  <w:marRight w:val="0"/>
                  <w:marTop w:val="0"/>
                  <w:marBottom w:val="0"/>
                  <w:divBdr>
                    <w:top w:val="none" w:sz="0" w:space="0" w:color="auto"/>
                    <w:left w:val="none" w:sz="0" w:space="0" w:color="auto"/>
                    <w:bottom w:val="none" w:sz="0" w:space="0" w:color="auto"/>
                    <w:right w:val="none" w:sz="0" w:space="0" w:color="auto"/>
                  </w:divBdr>
                  <w:divsChild>
                    <w:div w:id="1672489917">
                      <w:marLeft w:val="0"/>
                      <w:marRight w:val="0"/>
                      <w:marTop w:val="0"/>
                      <w:marBottom w:val="0"/>
                      <w:divBdr>
                        <w:top w:val="none" w:sz="0" w:space="0" w:color="auto"/>
                        <w:left w:val="none" w:sz="0" w:space="0" w:color="auto"/>
                        <w:bottom w:val="none" w:sz="0" w:space="0" w:color="auto"/>
                        <w:right w:val="none" w:sz="0" w:space="0" w:color="auto"/>
                      </w:divBdr>
                    </w:div>
                  </w:divsChild>
                </w:div>
                <w:div w:id="1495218070">
                  <w:marLeft w:val="0"/>
                  <w:marRight w:val="0"/>
                  <w:marTop w:val="0"/>
                  <w:marBottom w:val="0"/>
                  <w:divBdr>
                    <w:top w:val="none" w:sz="0" w:space="0" w:color="auto"/>
                    <w:left w:val="none" w:sz="0" w:space="0" w:color="auto"/>
                    <w:bottom w:val="none" w:sz="0" w:space="0" w:color="auto"/>
                    <w:right w:val="none" w:sz="0" w:space="0" w:color="auto"/>
                  </w:divBdr>
                  <w:divsChild>
                    <w:div w:id="647784344">
                      <w:marLeft w:val="0"/>
                      <w:marRight w:val="0"/>
                      <w:marTop w:val="0"/>
                      <w:marBottom w:val="0"/>
                      <w:divBdr>
                        <w:top w:val="none" w:sz="0" w:space="0" w:color="auto"/>
                        <w:left w:val="none" w:sz="0" w:space="0" w:color="auto"/>
                        <w:bottom w:val="none" w:sz="0" w:space="0" w:color="auto"/>
                        <w:right w:val="none" w:sz="0" w:space="0" w:color="auto"/>
                      </w:divBdr>
                    </w:div>
                  </w:divsChild>
                </w:div>
                <w:div w:id="1493108737">
                  <w:marLeft w:val="0"/>
                  <w:marRight w:val="0"/>
                  <w:marTop w:val="0"/>
                  <w:marBottom w:val="0"/>
                  <w:divBdr>
                    <w:top w:val="none" w:sz="0" w:space="0" w:color="auto"/>
                    <w:left w:val="none" w:sz="0" w:space="0" w:color="auto"/>
                    <w:bottom w:val="none" w:sz="0" w:space="0" w:color="auto"/>
                    <w:right w:val="none" w:sz="0" w:space="0" w:color="auto"/>
                  </w:divBdr>
                  <w:divsChild>
                    <w:div w:id="2119987057">
                      <w:marLeft w:val="0"/>
                      <w:marRight w:val="0"/>
                      <w:marTop w:val="0"/>
                      <w:marBottom w:val="0"/>
                      <w:divBdr>
                        <w:top w:val="none" w:sz="0" w:space="0" w:color="auto"/>
                        <w:left w:val="none" w:sz="0" w:space="0" w:color="auto"/>
                        <w:bottom w:val="none" w:sz="0" w:space="0" w:color="auto"/>
                        <w:right w:val="none" w:sz="0" w:space="0" w:color="auto"/>
                      </w:divBdr>
                    </w:div>
                  </w:divsChild>
                </w:div>
                <w:div w:id="1949041841">
                  <w:marLeft w:val="0"/>
                  <w:marRight w:val="0"/>
                  <w:marTop w:val="0"/>
                  <w:marBottom w:val="0"/>
                  <w:divBdr>
                    <w:top w:val="none" w:sz="0" w:space="0" w:color="auto"/>
                    <w:left w:val="none" w:sz="0" w:space="0" w:color="auto"/>
                    <w:bottom w:val="none" w:sz="0" w:space="0" w:color="auto"/>
                    <w:right w:val="none" w:sz="0" w:space="0" w:color="auto"/>
                  </w:divBdr>
                  <w:divsChild>
                    <w:div w:id="264003420">
                      <w:marLeft w:val="0"/>
                      <w:marRight w:val="0"/>
                      <w:marTop w:val="0"/>
                      <w:marBottom w:val="0"/>
                      <w:divBdr>
                        <w:top w:val="none" w:sz="0" w:space="0" w:color="auto"/>
                        <w:left w:val="none" w:sz="0" w:space="0" w:color="auto"/>
                        <w:bottom w:val="none" w:sz="0" w:space="0" w:color="auto"/>
                        <w:right w:val="none" w:sz="0" w:space="0" w:color="auto"/>
                      </w:divBdr>
                    </w:div>
                    <w:div w:id="1907061327">
                      <w:marLeft w:val="0"/>
                      <w:marRight w:val="0"/>
                      <w:marTop w:val="0"/>
                      <w:marBottom w:val="0"/>
                      <w:divBdr>
                        <w:top w:val="none" w:sz="0" w:space="0" w:color="auto"/>
                        <w:left w:val="none" w:sz="0" w:space="0" w:color="auto"/>
                        <w:bottom w:val="none" w:sz="0" w:space="0" w:color="auto"/>
                        <w:right w:val="none" w:sz="0" w:space="0" w:color="auto"/>
                      </w:divBdr>
                    </w:div>
                    <w:div w:id="16964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7366">
      <w:bodyDiv w:val="1"/>
      <w:marLeft w:val="0"/>
      <w:marRight w:val="0"/>
      <w:marTop w:val="0"/>
      <w:marBottom w:val="0"/>
      <w:divBdr>
        <w:top w:val="none" w:sz="0" w:space="0" w:color="auto"/>
        <w:left w:val="none" w:sz="0" w:space="0" w:color="auto"/>
        <w:bottom w:val="none" w:sz="0" w:space="0" w:color="auto"/>
        <w:right w:val="none" w:sz="0" w:space="0" w:color="auto"/>
      </w:divBdr>
    </w:div>
    <w:div w:id="1223443788">
      <w:bodyDiv w:val="1"/>
      <w:marLeft w:val="0"/>
      <w:marRight w:val="0"/>
      <w:marTop w:val="0"/>
      <w:marBottom w:val="0"/>
      <w:divBdr>
        <w:top w:val="none" w:sz="0" w:space="0" w:color="auto"/>
        <w:left w:val="none" w:sz="0" w:space="0" w:color="auto"/>
        <w:bottom w:val="none" w:sz="0" w:space="0" w:color="auto"/>
        <w:right w:val="none" w:sz="0" w:space="0" w:color="auto"/>
      </w:divBdr>
    </w:div>
    <w:div w:id="1227688413">
      <w:bodyDiv w:val="1"/>
      <w:marLeft w:val="0"/>
      <w:marRight w:val="0"/>
      <w:marTop w:val="0"/>
      <w:marBottom w:val="0"/>
      <w:divBdr>
        <w:top w:val="none" w:sz="0" w:space="0" w:color="auto"/>
        <w:left w:val="none" w:sz="0" w:space="0" w:color="auto"/>
        <w:bottom w:val="none" w:sz="0" w:space="0" w:color="auto"/>
        <w:right w:val="none" w:sz="0" w:space="0" w:color="auto"/>
      </w:divBdr>
    </w:div>
    <w:div w:id="1245070816">
      <w:bodyDiv w:val="1"/>
      <w:marLeft w:val="0"/>
      <w:marRight w:val="0"/>
      <w:marTop w:val="0"/>
      <w:marBottom w:val="0"/>
      <w:divBdr>
        <w:top w:val="none" w:sz="0" w:space="0" w:color="auto"/>
        <w:left w:val="none" w:sz="0" w:space="0" w:color="auto"/>
        <w:bottom w:val="none" w:sz="0" w:space="0" w:color="auto"/>
        <w:right w:val="none" w:sz="0" w:space="0" w:color="auto"/>
      </w:divBdr>
    </w:div>
    <w:div w:id="1249846503">
      <w:bodyDiv w:val="1"/>
      <w:marLeft w:val="0"/>
      <w:marRight w:val="0"/>
      <w:marTop w:val="0"/>
      <w:marBottom w:val="0"/>
      <w:divBdr>
        <w:top w:val="none" w:sz="0" w:space="0" w:color="auto"/>
        <w:left w:val="none" w:sz="0" w:space="0" w:color="auto"/>
        <w:bottom w:val="none" w:sz="0" w:space="0" w:color="auto"/>
        <w:right w:val="none" w:sz="0" w:space="0" w:color="auto"/>
      </w:divBdr>
    </w:div>
    <w:div w:id="1259824680">
      <w:bodyDiv w:val="1"/>
      <w:marLeft w:val="0"/>
      <w:marRight w:val="0"/>
      <w:marTop w:val="0"/>
      <w:marBottom w:val="0"/>
      <w:divBdr>
        <w:top w:val="none" w:sz="0" w:space="0" w:color="auto"/>
        <w:left w:val="none" w:sz="0" w:space="0" w:color="auto"/>
        <w:bottom w:val="none" w:sz="0" w:space="0" w:color="auto"/>
        <w:right w:val="none" w:sz="0" w:space="0" w:color="auto"/>
      </w:divBdr>
    </w:div>
    <w:div w:id="1262684549">
      <w:bodyDiv w:val="1"/>
      <w:marLeft w:val="0"/>
      <w:marRight w:val="0"/>
      <w:marTop w:val="0"/>
      <w:marBottom w:val="0"/>
      <w:divBdr>
        <w:top w:val="none" w:sz="0" w:space="0" w:color="auto"/>
        <w:left w:val="none" w:sz="0" w:space="0" w:color="auto"/>
        <w:bottom w:val="none" w:sz="0" w:space="0" w:color="auto"/>
        <w:right w:val="none" w:sz="0" w:space="0" w:color="auto"/>
      </w:divBdr>
    </w:div>
    <w:div w:id="1273827362">
      <w:bodyDiv w:val="1"/>
      <w:marLeft w:val="0"/>
      <w:marRight w:val="0"/>
      <w:marTop w:val="0"/>
      <w:marBottom w:val="0"/>
      <w:divBdr>
        <w:top w:val="none" w:sz="0" w:space="0" w:color="auto"/>
        <w:left w:val="none" w:sz="0" w:space="0" w:color="auto"/>
        <w:bottom w:val="none" w:sz="0" w:space="0" w:color="auto"/>
        <w:right w:val="none" w:sz="0" w:space="0" w:color="auto"/>
      </w:divBdr>
    </w:div>
    <w:div w:id="1276980864">
      <w:bodyDiv w:val="1"/>
      <w:marLeft w:val="0"/>
      <w:marRight w:val="0"/>
      <w:marTop w:val="0"/>
      <w:marBottom w:val="0"/>
      <w:divBdr>
        <w:top w:val="none" w:sz="0" w:space="0" w:color="auto"/>
        <w:left w:val="none" w:sz="0" w:space="0" w:color="auto"/>
        <w:bottom w:val="none" w:sz="0" w:space="0" w:color="auto"/>
        <w:right w:val="none" w:sz="0" w:space="0" w:color="auto"/>
      </w:divBdr>
    </w:div>
    <w:div w:id="1329943727">
      <w:bodyDiv w:val="1"/>
      <w:marLeft w:val="0"/>
      <w:marRight w:val="0"/>
      <w:marTop w:val="0"/>
      <w:marBottom w:val="0"/>
      <w:divBdr>
        <w:top w:val="none" w:sz="0" w:space="0" w:color="auto"/>
        <w:left w:val="none" w:sz="0" w:space="0" w:color="auto"/>
        <w:bottom w:val="none" w:sz="0" w:space="0" w:color="auto"/>
        <w:right w:val="none" w:sz="0" w:space="0" w:color="auto"/>
      </w:divBdr>
    </w:div>
    <w:div w:id="1341196120">
      <w:bodyDiv w:val="1"/>
      <w:marLeft w:val="0"/>
      <w:marRight w:val="0"/>
      <w:marTop w:val="0"/>
      <w:marBottom w:val="0"/>
      <w:divBdr>
        <w:top w:val="none" w:sz="0" w:space="0" w:color="auto"/>
        <w:left w:val="none" w:sz="0" w:space="0" w:color="auto"/>
        <w:bottom w:val="none" w:sz="0" w:space="0" w:color="auto"/>
        <w:right w:val="none" w:sz="0" w:space="0" w:color="auto"/>
      </w:divBdr>
    </w:div>
    <w:div w:id="1365211324">
      <w:bodyDiv w:val="1"/>
      <w:marLeft w:val="0"/>
      <w:marRight w:val="0"/>
      <w:marTop w:val="0"/>
      <w:marBottom w:val="0"/>
      <w:divBdr>
        <w:top w:val="none" w:sz="0" w:space="0" w:color="auto"/>
        <w:left w:val="none" w:sz="0" w:space="0" w:color="auto"/>
        <w:bottom w:val="none" w:sz="0" w:space="0" w:color="auto"/>
        <w:right w:val="none" w:sz="0" w:space="0" w:color="auto"/>
      </w:divBdr>
    </w:div>
    <w:div w:id="1375738398">
      <w:bodyDiv w:val="1"/>
      <w:marLeft w:val="0"/>
      <w:marRight w:val="0"/>
      <w:marTop w:val="0"/>
      <w:marBottom w:val="0"/>
      <w:divBdr>
        <w:top w:val="none" w:sz="0" w:space="0" w:color="auto"/>
        <w:left w:val="none" w:sz="0" w:space="0" w:color="auto"/>
        <w:bottom w:val="none" w:sz="0" w:space="0" w:color="auto"/>
        <w:right w:val="none" w:sz="0" w:space="0" w:color="auto"/>
      </w:divBdr>
    </w:div>
    <w:div w:id="1410418978">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458526525">
      <w:bodyDiv w:val="1"/>
      <w:marLeft w:val="0"/>
      <w:marRight w:val="0"/>
      <w:marTop w:val="0"/>
      <w:marBottom w:val="0"/>
      <w:divBdr>
        <w:top w:val="none" w:sz="0" w:space="0" w:color="auto"/>
        <w:left w:val="none" w:sz="0" w:space="0" w:color="auto"/>
        <w:bottom w:val="none" w:sz="0" w:space="0" w:color="auto"/>
        <w:right w:val="none" w:sz="0" w:space="0" w:color="auto"/>
      </w:divBdr>
    </w:div>
    <w:div w:id="1464688120">
      <w:bodyDiv w:val="1"/>
      <w:marLeft w:val="0"/>
      <w:marRight w:val="0"/>
      <w:marTop w:val="0"/>
      <w:marBottom w:val="0"/>
      <w:divBdr>
        <w:top w:val="none" w:sz="0" w:space="0" w:color="auto"/>
        <w:left w:val="none" w:sz="0" w:space="0" w:color="auto"/>
        <w:bottom w:val="none" w:sz="0" w:space="0" w:color="auto"/>
        <w:right w:val="none" w:sz="0" w:space="0" w:color="auto"/>
      </w:divBdr>
    </w:div>
    <w:div w:id="1475442705">
      <w:bodyDiv w:val="1"/>
      <w:marLeft w:val="0"/>
      <w:marRight w:val="0"/>
      <w:marTop w:val="0"/>
      <w:marBottom w:val="0"/>
      <w:divBdr>
        <w:top w:val="none" w:sz="0" w:space="0" w:color="auto"/>
        <w:left w:val="none" w:sz="0" w:space="0" w:color="auto"/>
        <w:bottom w:val="none" w:sz="0" w:space="0" w:color="auto"/>
        <w:right w:val="none" w:sz="0" w:space="0" w:color="auto"/>
      </w:divBdr>
    </w:div>
    <w:div w:id="1477723622">
      <w:bodyDiv w:val="1"/>
      <w:marLeft w:val="0"/>
      <w:marRight w:val="0"/>
      <w:marTop w:val="0"/>
      <w:marBottom w:val="0"/>
      <w:divBdr>
        <w:top w:val="none" w:sz="0" w:space="0" w:color="auto"/>
        <w:left w:val="none" w:sz="0" w:space="0" w:color="auto"/>
        <w:bottom w:val="none" w:sz="0" w:space="0" w:color="auto"/>
        <w:right w:val="none" w:sz="0" w:space="0" w:color="auto"/>
      </w:divBdr>
    </w:div>
    <w:div w:id="1534805258">
      <w:bodyDiv w:val="1"/>
      <w:marLeft w:val="0"/>
      <w:marRight w:val="0"/>
      <w:marTop w:val="0"/>
      <w:marBottom w:val="0"/>
      <w:divBdr>
        <w:top w:val="none" w:sz="0" w:space="0" w:color="auto"/>
        <w:left w:val="none" w:sz="0" w:space="0" w:color="auto"/>
        <w:bottom w:val="none" w:sz="0" w:space="0" w:color="auto"/>
        <w:right w:val="none" w:sz="0" w:space="0" w:color="auto"/>
      </w:divBdr>
    </w:div>
    <w:div w:id="1540630765">
      <w:bodyDiv w:val="1"/>
      <w:marLeft w:val="0"/>
      <w:marRight w:val="0"/>
      <w:marTop w:val="0"/>
      <w:marBottom w:val="0"/>
      <w:divBdr>
        <w:top w:val="none" w:sz="0" w:space="0" w:color="auto"/>
        <w:left w:val="none" w:sz="0" w:space="0" w:color="auto"/>
        <w:bottom w:val="none" w:sz="0" w:space="0" w:color="auto"/>
        <w:right w:val="none" w:sz="0" w:space="0" w:color="auto"/>
      </w:divBdr>
    </w:div>
    <w:div w:id="1542129207">
      <w:bodyDiv w:val="1"/>
      <w:marLeft w:val="0"/>
      <w:marRight w:val="0"/>
      <w:marTop w:val="0"/>
      <w:marBottom w:val="0"/>
      <w:divBdr>
        <w:top w:val="none" w:sz="0" w:space="0" w:color="auto"/>
        <w:left w:val="none" w:sz="0" w:space="0" w:color="auto"/>
        <w:bottom w:val="none" w:sz="0" w:space="0" w:color="auto"/>
        <w:right w:val="none" w:sz="0" w:space="0" w:color="auto"/>
      </w:divBdr>
    </w:div>
    <w:div w:id="1544518489">
      <w:bodyDiv w:val="1"/>
      <w:marLeft w:val="0"/>
      <w:marRight w:val="0"/>
      <w:marTop w:val="0"/>
      <w:marBottom w:val="0"/>
      <w:divBdr>
        <w:top w:val="none" w:sz="0" w:space="0" w:color="auto"/>
        <w:left w:val="none" w:sz="0" w:space="0" w:color="auto"/>
        <w:bottom w:val="none" w:sz="0" w:space="0" w:color="auto"/>
        <w:right w:val="none" w:sz="0" w:space="0" w:color="auto"/>
      </w:divBdr>
    </w:div>
    <w:div w:id="1552616691">
      <w:bodyDiv w:val="1"/>
      <w:marLeft w:val="0"/>
      <w:marRight w:val="0"/>
      <w:marTop w:val="0"/>
      <w:marBottom w:val="0"/>
      <w:divBdr>
        <w:top w:val="none" w:sz="0" w:space="0" w:color="auto"/>
        <w:left w:val="none" w:sz="0" w:space="0" w:color="auto"/>
        <w:bottom w:val="none" w:sz="0" w:space="0" w:color="auto"/>
        <w:right w:val="none" w:sz="0" w:space="0" w:color="auto"/>
      </w:divBdr>
    </w:div>
    <w:div w:id="1558779879">
      <w:bodyDiv w:val="1"/>
      <w:marLeft w:val="0"/>
      <w:marRight w:val="0"/>
      <w:marTop w:val="0"/>
      <w:marBottom w:val="0"/>
      <w:divBdr>
        <w:top w:val="none" w:sz="0" w:space="0" w:color="auto"/>
        <w:left w:val="none" w:sz="0" w:space="0" w:color="auto"/>
        <w:bottom w:val="none" w:sz="0" w:space="0" w:color="auto"/>
        <w:right w:val="none" w:sz="0" w:space="0" w:color="auto"/>
      </w:divBdr>
    </w:div>
    <w:div w:id="1561943854">
      <w:bodyDiv w:val="1"/>
      <w:marLeft w:val="0"/>
      <w:marRight w:val="0"/>
      <w:marTop w:val="0"/>
      <w:marBottom w:val="0"/>
      <w:divBdr>
        <w:top w:val="none" w:sz="0" w:space="0" w:color="auto"/>
        <w:left w:val="none" w:sz="0" w:space="0" w:color="auto"/>
        <w:bottom w:val="none" w:sz="0" w:space="0" w:color="auto"/>
        <w:right w:val="none" w:sz="0" w:space="0" w:color="auto"/>
      </w:divBdr>
    </w:div>
    <w:div w:id="1565600710">
      <w:bodyDiv w:val="1"/>
      <w:marLeft w:val="0"/>
      <w:marRight w:val="0"/>
      <w:marTop w:val="0"/>
      <w:marBottom w:val="0"/>
      <w:divBdr>
        <w:top w:val="none" w:sz="0" w:space="0" w:color="auto"/>
        <w:left w:val="none" w:sz="0" w:space="0" w:color="auto"/>
        <w:bottom w:val="none" w:sz="0" w:space="0" w:color="auto"/>
        <w:right w:val="none" w:sz="0" w:space="0" w:color="auto"/>
      </w:divBdr>
    </w:div>
    <w:div w:id="1567835540">
      <w:bodyDiv w:val="1"/>
      <w:marLeft w:val="0"/>
      <w:marRight w:val="0"/>
      <w:marTop w:val="0"/>
      <w:marBottom w:val="0"/>
      <w:divBdr>
        <w:top w:val="none" w:sz="0" w:space="0" w:color="auto"/>
        <w:left w:val="none" w:sz="0" w:space="0" w:color="auto"/>
        <w:bottom w:val="none" w:sz="0" w:space="0" w:color="auto"/>
        <w:right w:val="none" w:sz="0" w:space="0" w:color="auto"/>
      </w:divBdr>
    </w:div>
    <w:div w:id="1595164643">
      <w:bodyDiv w:val="1"/>
      <w:marLeft w:val="0"/>
      <w:marRight w:val="0"/>
      <w:marTop w:val="0"/>
      <w:marBottom w:val="0"/>
      <w:divBdr>
        <w:top w:val="none" w:sz="0" w:space="0" w:color="auto"/>
        <w:left w:val="none" w:sz="0" w:space="0" w:color="auto"/>
        <w:bottom w:val="none" w:sz="0" w:space="0" w:color="auto"/>
        <w:right w:val="none" w:sz="0" w:space="0" w:color="auto"/>
      </w:divBdr>
    </w:div>
    <w:div w:id="1598975445">
      <w:bodyDiv w:val="1"/>
      <w:marLeft w:val="0"/>
      <w:marRight w:val="0"/>
      <w:marTop w:val="0"/>
      <w:marBottom w:val="0"/>
      <w:divBdr>
        <w:top w:val="none" w:sz="0" w:space="0" w:color="auto"/>
        <w:left w:val="none" w:sz="0" w:space="0" w:color="auto"/>
        <w:bottom w:val="none" w:sz="0" w:space="0" w:color="auto"/>
        <w:right w:val="none" w:sz="0" w:space="0" w:color="auto"/>
      </w:divBdr>
    </w:div>
    <w:div w:id="1652175908">
      <w:bodyDiv w:val="1"/>
      <w:marLeft w:val="0"/>
      <w:marRight w:val="0"/>
      <w:marTop w:val="0"/>
      <w:marBottom w:val="0"/>
      <w:divBdr>
        <w:top w:val="none" w:sz="0" w:space="0" w:color="auto"/>
        <w:left w:val="none" w:sz="0" w:space="0" w:color="auto"/>
        <w:bottom w:val="none" w:sz="0" w:space="0" w:color="auto"/>
        <w:right w:val="none" w:sz="0" w:space="0" w:color="auto"/>
      </w:divBdr>
    </w:div>
    <w:div w:id="1659066496">
      <w:bodyDiv w:val="1"/>
      <w:marLeft w:val="0"/>
      <w:marRight w:val="0"/>
      <w:marTop w:val="0"/>
      <w:marBottom w:val="0"/>
      <w:divBdr>
        <w:top w:val="none" w:sz="0" w:space="0" w:color="auto"/>
        <w:left w:val="none" w:sz="0" w:space="0" w:color="auto"/>
        <w:bottom w:val="none" w:sz="0" w:space="0" w:color="auto"/>
        <w:right w:val="none" w:sz="0" w:space="0" w:color="auto"/>
      </w:divBdr>
    </w:div>
    <w:div w:id="1668434870">
      <w:bodyDiv w:val="1"/>
      <w:marLeft w:val="0"/>
      <w:marRight w:val="0"/>
      <w:marTop w:val="0"/>
      <w:marBottom w:val="0"/>
      <w:divBdr>
        <w:top w:val="none" w:sz="0" w:space="0" w:color="auto"/>
        <w:left w:val="none" w:sz="0" w:space="0" w:color="auto"/>
        <w:bottom w:val="none" w:sz="0" w:space="0" w:color="auto"/>
        <w:right w:val="none" w:sz="0" w:space="0" w:color="auto"/>
      </w:divBdr>
    </w:div>
    <w:div w:id="1671716762">
      <w:bodyDiv w:val="1"/>
      <w:marLeft w:val="0"/>
      <w:marRight w:val="0"/>
      <w:marTop w:val="0"/>
      <w:marBottom w:val="0"/>
      <w:divBdr>
        <w:top w:val="none" w:sz="0" w:space="0" w:color="auto"/>
        <w:left w:val="none" w:sz="0" w:space="0" w:color="auto"/>
        <w:bottom w:val="none" w:sz="0" w:space="0" w:color="auto"/>
        <w:right w:val="none" w:sz="0" w:space="0" w:color="auto"/>
      </w:divBdr>
    </w:div>
    <w:div w:id="1703437047">
      <w:bodyDiv w:val="1"/>
      <w:marLeft w:val="0"/>
      <w:marRight w:val="0"/>
      <w:marTop w:val="0"/>
      <w:marBottom w:val="0"/>
      <w:divBdr>
        <w:top w:val="none" w:sz="0" w:space="0" w:color="auto"/>
        <w:left w:val="none" w:sz="0" w:space="0" w:color="auto"/>
        <w:bottom w:val="none" w:sz="0" w:space="0" w:color="auto"/>
        <w:right w:val="none" w:sz="0" w:space="0" w:color="auto"/>
      </w:divBdr>
    </w:div>
    <w:div w:id="1719476511">
      <w:bodyDiv w:val="1"/>
      <w:marLeft w:val="0"/>
      <w:marRight w:val="0"/>
      <w:marTop w:val="0"/>
      <w:marBottom w:val="0"/>
      <w:divBdr>
        <w:top w:val="none" w:sz="0" w:space="0" w:color="auto"/>
        <w:left w:val="none" w:sz="0" w:space="0" w:color="auto"/>
        <w:bottom w:val="none" w:sz="0" w:space="0" w:color="auto"/>
        <w:right w:val="none" w:sz="0" w:space="0" w:color="auto"/>
      </w:divBdr>
    </w:div>
    <w:div w:id="1750423139">
      <w:bodyDiv w:val="1"/>
      <w:marLeft w:val="0"/>
      <w:marRight w:val="0"/>
      <w:marTop w:val="0"/>
      <w:marBottom w:val="0"/>
      <w:divBdr>
        <w:top w:val="none" w:sz="0" w:space="0" w:color="auto"/>
        <w:left w:val="none" w:sz="0" w:space="0" w:color="auto"/>
        <w:bottom w:val="none" w:sz="0" w:space="0" w:color="auto"/>
        <w:right w:val="none" w:sz="0" w:space="0" w:color="auto"/>
      </w:divBdr>
    </w:div>
    <w:div w:id="1771395460">
      <w:bodyDiv w:val="1"/>
      <w:marLeft w:val="0"/>
      <w:marRight w:val="0"/>
      <w:marTop w:val="0"/>
      <w:marBottom w:val="0"/>
      <w:divBdr>
        <w:top w:val="none" w:sz="0" w:space="0" w:color="auto"/>
        <w:left w:val="none" w:sz="0" w:space="0" w:color="auto"/>
        <w:bottom w:val="none" w:sz="0" w:space="0" w:color="auto"/>
        <w:right w:val="none" w:sz="0" w:space="0" w:color="auto"/>
      </w:divBdr>
    </w:div>
    <w:div w:id="1793205302">
      <w:bodyDiv w:val="1"/>
      <w:marLeft w:val="0"/>
      <w:marRight w:val="0"/>
      <w:marTop w:val="0"/>
      <w:marBottom w:val="0"/>
      <w:divBdr>
        <w:top w:val="none" w:sz="0" w:space="0" w:color="auto"/>
        <w:left w:val="none" w:sz="0" w:space="0" w:color="auto"/>
        <w:bottom w:val="none" w:sz="0" w:space="0" w:color="auto"/>
        <w:right w:val="none" w:sz="0" w:space="0" w:color="auto"/>
      </w:divBdr>
    </w:div>
    <w:div w:id="1797680307">
      <w:bodyDiv w:val="1"/>
      <w:marLeft w:val="0"/>
      <w:marRight w:val="0"/>
      <w:marTop w:val="0"/>
      <w:marBottom w:val="0"/>
      <w:divBdr>
        <w:top w:val="none" w:sz="0" w:space="0" w:color="auto"/>
        <w:left w:val="none" w:sz="0" w:space="0" w:color="auto"/>
        <w:bottom w:val="none" w:sz="0" w:space="0" w:color="auto"/>
        <w:right w:val="none" w:sz="0" w:space="0" w:color="auto"/>
      </w:divBdr>
    </w:div>
    <w:div w:id="1801150818">
      <w:bodyDiv w:val="1"/>
      <w:marLeft w:val="0"/>
      <w:marRight w:val="0"/>
      <w:marTop w:val="0"/>
      <w:marBottom w:val="0"/>
      <w:divBdr>
        <w:top w:val="none" w:sz="0" w:space="0" w:color="auto"/>
        <w:left w:val="none" w:sz="0" w:space="0" w:color="auto"/>
        <w:bottom w:val="none" w:sz="0" w:space="0" w:color="auto"/>
        <w:right w:val="none" w:sz="0" w:space="0" w:color="auto"/>
      </w:divBdr>
    </w:div>
    <w:div w:id="1804613128">
      <w:bodyDiv w:val="1"/>
      <w:marLeft w:val="0"/>
      <w:marRight w:val="0"/>
      <w:marTop w:val="0"/>
      <w:marBottom w:val="0"/>
      <w:divBdr>
        <w:top w:val="none" w:sz="0" w:space="0" w:color="auto"/>
        <w:left w:val="none" w:sz="0" w:space="0" w:color="auto"/>
        <w:bottom w:val="none" w:sz="0" w:space="0" w:color="auto"/>
        <w:right w:val="none" w:sz="0" w:space="0" w:color="auto"/>
      </w:divBdr>
    </w:div>
    <w:div w:id="1946844445">
      <w:bodyDiv w:val="1"/>
      <w:marLeft w:val="0"/>
      <w:marRight w:val="0"/>
      <w:marTop w:val="0"/>
      <w:marBottom w:val="0"/>
      <w:divBdr>
        <w:top w:val="none" w:sz="0" w:space="0" w:color="auto"/>
        <w:left w:val="none" w:sz="0" w:space="0" w:color="auto"/>
        <w:bottom w:val="none" w:sz="0" w:space="0" w:color="auto"/>
        <w:right w:val="none" w:sz="0" w:space="0" w:color="auto"/>
      </w:divBdr>
    </w:div>
    <w:div w:id="1978679632">
      <w:bodyDiv w:val="1"/>
      <w:marLeft w:val="0"/>
      <w:marRight w:val="0"/>
      <w:marTop w:val="0"/>
      <w:marBottom w:val="0"/>
      <w:divBdr>
        <w:top w:val="none" w:sz="0" w:space="0" w:color="auto"/>
        <w:left w:val="none" w:sz="0" w:space="0" w:color="auto"/>
        <w:bottom w:val="none" w:sz="0" w:space="0" w:color="auto"/>
        <w:right w:val="none" w:sz="0" w:space="0" w:color="auto"/>
      </w:divBdr>
    </w:div>
    <w:div w:id="1997997164">
      <w:bodyDiv w:val="1"/>
      <w:marLeft w:val="0"/>
      <w:marRight w:val="0"/>
      <w:marTop w:val="0"/>
      <w:marBottom w:val="0"/>
      <w:divBdr>
        <w:top w:val="none" w:sz="0" w:space="0" w:color="auto"/>
        <w:left w:val="none" w:sz="0" w:space="0" w:color="auto"/>
        <w:bottom w:val="none" w:sz="0" w:space="0" w:color="auto"/>
        <w:right w:val="none" w:sz="0" w:space="0" w:color="auto"/>
      </w:divBdr>
    </w:div>
    <w:div w:id="2026786899">
      <w:bodyDiv w:val="1"/>
      <w:marLeft w:val="0"/>
      <w:marRight w:val="0"/>
      <w:marTop w:val="0"/>
      <w:marBottom w:val="0"/>
      <w:divBdr>
        <w:top w:val="none" w:sz="0" w:space="0" w:color="auto"/>
        <w:left w:val="none" w:sz="0" w:space="0" w:color="auto"/>
        <w:bottom w:val="none" w:sz="0" w:space="0" w:color="auto"/>
        <w:right w:val="none" w:sz="0" w:space="0" w:color="auto"/>
      </w:divBdr>
    </w:div>
    <w:div w:id="2058780215">
      <w:bodyDiv w:val="1"/>
      <w:marLeft w:val="0"/>
      <w:marRight w:val="0"/>
      <w:marTop w:val="0"/>
      <w:marBottom w:val="0"/>
      <w:divBdr>
        <w:top w:val="none" w:sz="0" w:space="0" w:color="auto"/>
        <w:left w:val="none" w:sz="0" w:space="0" w:color="auto"/>
        <w:bottom w:val="none" w:sz="0" w:space="0" w:color="auto"/>
        <w:right w:val="none" w:sz="0" w:space="0" w:color="auto"/>
      </w:divBdr>
    </w:div>
    <w:div w:id="2083286182">
      <w:bodyDiv w:val="1"/>
      <w:marLeft w:val="0"/>
      <w:marRight w:val="0"/>
      <w:marTop w:val="0"/>
      <w:marBottom w:val="0"/>
      <w:divBdr>
        <w:top w:val="none" w:sz="0" w:space="0" w:color="auto"/>
        <w:left w:val="none" w:sz="0" w:space="0" w:color="auto"/>
        <w:bottom w:val="none" w:sz="0" w:space="0" w:color="auto"/>
        <w:right w:val="none" w:sz="0" w:space="0" w:color="auto"/>
      </w:divBdr>
    </w:div>
    <w:div w:id="21285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na-dsb-events.webex.com/anna-dsb-events/onstage/g.php?MTID=e48491af353faeea1709e5bc4862f91ac" TargetMode="External"/><Relationship Id="rId18" Type="http://schemas.openxmlformats.org/officeDocument/2006/relationships/image" Target="media/image3.png"/><Relationship Id="rId26" Type="http://schemas.openxmlformats.org/officeDocument/2006/relationships/hyperlink" Target="https://www.anna-dsb.com/about-us/" TargetMode="External"/><Relationship Id="rId39" Type="http://schemas.openxmlformats.org/officeDocument/2006/relationships/hyperlink" Target="https://www.anna-dsb.com/download/20190313-dsb-tac-report-member-final-01/" TargetMode="External"/><Relationship Id="rId21" Type="http://schemas.openxmlformats.org/officeDocument/2006/relationships/hyperlink" Target="https://www.anna-dsb.com/blog/" TargetMode="External"/><Relationship Id="rId34" Type="http://schemas.openxmlformats.org/officeDocument/2006/relationships/hyperlink" Target="https://www.anna-dsb.com/download/dsb-prod-product-definitions/" TargetMode="External"/><Relationship Id="rId42" Type="http://schemas.openxmlformats.org/officeDocument/2006/relationships/hyperlink" Target="https://nvlpubs.nist.gov/nistpubs/Legacy/SP/nistspecialpublication800-64r2.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prod.anna-dsb.com/" TargetMode="External"/><Relationship Id="rId11" Type="http://schemas.openxmlformats.org/officeDocument/2006/relationships/image" Target="media/image1.jpg"/><Relationship Id="rId24" Type="http://schemas.openxmlformats.org/officeDocument/2006/relationships/image" Target="media/image5.PNG"/><Relationship Id="rId32" Type="http://schemas.openxmlformats.org/officeDocument/2006/relationships/hyperlink" Target="https://www.anna-dsb.com/proprietary-indexes/" TargetMode="External"/><Relationship Id="rId37" Type="http://schemas.openxmlformats.org/officeDocument/2006/relationships/hyperlink" Target="https://www.anna-dsb.com/change_request_process/" TargetMode="External"/><Relationship Id="rId40" Type="http://schemas.openxmlformats.org/officeDocument/2006/relationships/hyperlink" Target="https://www.anna-dsb.com/download/dsb-tac-meeting-minutes-13th-march-2019/" TargetMode="External"/><Relationship Id="rId45" Type="http://schemas.openxmlformats.org/officeDocument/2006/relationships/hyperlink" Target="https://www.iso.org/standard/61498.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www.anna-dsb.com/download/dsb-prod-product-definitions-annex-7-indices/" TargetMode="External"/><Relationship Id="rId36" Type="http://schemas.openxmlformats.org/officeDocument/2006/relationships/hyperlink" Target="https://www.anna-dsb.com/ufaqs/ir-basis-float-vs-float-swap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na-web.org/dsb-product-committee/" TargetMode="External"/><Relationship Id="rId31" Type="http://schemas.openxmlformats.org/officeDocument/2006/relationships/hyperlink" Target="https://www.anna-dsb.com/download/dsb-search/" TargetMode="External"/><Relationship Id="rId44" Type="http://schemas.openxmlformats.org/officeDocument/2006/relationships/hyperlink" Target="https://www.iso.org/obp/u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_consultation@anna-dsb.com" TargetMode="External"/><Relationship Id="rId22" Type="http://schemas.openxmlformats.org/officeDocument/2006/relationships/hyperlink" Target="https://www.anna-dsb.com/2019/04/16/monthly-dsb-metrics-march-2019/" TargetMode="External"/><Relationship Id="rId27" Type="http://schemas.openxmlformats.org/officeDocument/2006/relationships/hyperlink" Target="https://www.anna-dsb.com/products/" TargetMode="External"/><Relationship Id="rId30" Type="http://schemas.openxmlformats.org/officeDocument/2006/relationships/hyperlink" Target="https://www.anna-dsb.com/download/dsb-search/" TargetMode="External"/><Relationship Id="rId35" Type="http://schemas.openxmlformats.org/officeDocument/2006/relationships/hyperlink" Target="https://www.anna-dsb.com/download/dsb-validations-and-normalisations-non-std/" TargetMode="External"/><Relationship Id="rId43" Type="http://schemas.openxmlformats.org/officeDocument/2006/relationships/hyperlink" Target="https://www.iso.org/standard/54534.html"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dustry_consultation@anna-dsb.com" TargetMode="External"/><Relationship Id="rId17" Type="http://schemas.openxmlformats.org/officeDocument/2006/relationships/image" Target="media/image2.png"/><Relationship Id="rId25" Type="http://schemas.openxmlformats.org/officeDocument/2006/relationships/hyperlink" Target="mailto:industry_consultation@anna-dsb.com" TargetMode="External"/><Relationship Id="rId33" Type="http://schemas.openxmlformats.org/officeDocument/2006/relationships/hyperlink" Target="https://www.gleif.org/en/newsroom/blog/anna-and-gleif-join-forces-on-isin-to-lei-mapping-initiative" TargetMode="External"/><Relationship Id="rId38" Type="http://schemas.openxmlformats.org/officeDocument/2006/relationships/hyperlink" Target="https://www.anna-dsb.com/2019-user-fee-and-user-agreement-consultations/" TargetMode="External"/><Relationship Id="rId46" Type="http://schemas.openxmlformats.org/officeDocument/2006/relationships/hyperlink" Target="http://www.fsb.org/wp-content/uploads/P131017-2.pdf" TargetMode="External"/><Relationship Id="rId20" Type="http://schemas.openxmlformats.org/officeDocument/2006/relationships/hyperlink" Target="https://www.anna-dsb.com/product-committee/" TargetMode="External"/><Relationship Id="rId41" Type="http://schemas.openxmlformats.org/officeDocument/2006/relationships/hyperlink" Target="https://www.nist.gov/itl/tig/back-basics-multi-factor-authenticatio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hyperlink" Target="https://www.anna-dsb.com/2019-user-fee-and-user-agreement-consultations/" TargetMode="External"/><Relationship Id="rId7" Type="http://schemas.openxmlformats.org/officeDocument/2006/relationships/hyperlink" Target="https://nvlpubs.nist.gov/nistpubs/Legacy/SP/nistspecialpublication800-64r2.pdf" TargetMode="External"/><Relationship Id="rId2" Type="http://schemas.openxmlformats.org/officeDocument/2006/relationships/hyperlink" Target="https://www.anna-dsb.com/2019/04/16/monthly-dsb-metrics-march-2019/" TargetMode="External"/><Relationship Id="rId1" Type="http://schemas.openxmlformats.org/officeDocument/2006/relationships/hyperlink" Target="https://www.anna-dsb.com/fee-model-variables/" TargetMode="External"/><Relationship Id="rId6" Type="http://schemas.openxmlformats.org/officeDocument/2006/relationships/hyperlink" Target="https://www.nist.gov/itl/tig/back-basics-multi-factor-authentication" TargetMode="External"/><Relationship Id="rId11" Type="http://schemas.openxmlformats.org/officeDocument/2006/relationships/hyperlink" Target="http://www.fsb.org/wp-content/uploads/P131017-2.pdf" TargetMode="External"/><Relationship Id="rId5" Type="http://schemas.openxmlformats.org/officeDocument/2006/relationships/hyperlink" Target="https://www.anna-dsb.com/download/dsb-tac-meeting-minutes-13th-march-2019/" TargetMode="External"/><Relationship Id="rId10" Type="http://schemas.openxmlformats.org/officeDocument/2006/relationships/hyperlink" Target="https://www.iso.org/obp/ui/" TargetMode="External"/><Relationship Id="rId4" Type="http://schemas.openxmlformats.org/officeDocument/2006/relationships/hyperlink" Target="https://www.anna-dsb.com/download/20190313-dsb-tac-report-member-final-01/" TargetMode="External"/><Relationship Id="rId9"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B15CEEA8DF4F2D870D7C1693C3B955"/>
        <w:category>
          <w:name w:val="General"/>
          <w:gallery w:val="placeholder"/>
        </w:category>
        <w:types>
          <w:type w:val="bbPlcHdr"/>
        </w:types>
        <w:behaviors>
          <w:behavior w:val="content"/>
        </w:behaviors>
        <w:guid w:val="{BAC3357A-BB39-4AEF-AC1A-989AC74938CC}"/>
      </w:docPartPr>
      <w:docPartBody>
        <w:p w:rsidR="000B3B96" w:rsidRDefault="000B3B96" w:rsidP="000B3B96">
          <w:pPr>
            <w:pStyle w:val="FEB15CEEA8DF4F2D870D7C1693C3B955"/>
          </w:pPr>
          <w:r>
            <w:rPr>
              <w:rFonts w:eastAsiaTheme="minorHAnsi"/>
            </w:rPr>
            <w:t>Select Type</w:t>
          </w:r>
        </w:p>
      </w:docPartBody>
    </w:docPart>
    <w:docPart>
      <w:docPartPr>
        <w:name w:val="747A58C255C749A493FDC74C2430238D"/>
        <w:category>
          <w:name w:val="General"/>
          <w:gallery w:val="placeholder"/>
        </w:category>
        <w:types>
          <w:type w:val="bbPlcHdr"/>
        </w:types>
        <w:behaviors>
          <w:behavior w:val="content"/>
        </w:behaviors>
        <w:guid w:val="{68EAF1BB-FB6D-4E00-A8C7-73B073613DAC}"/>
      </w:docPartPr>
      <w:docPartBody>
        <w:p w:rsidR="000B3B96" w:rsidRDefault="000B3B96" w:rsidP="000B3B96">
          <w:pPr>
            <w:pStyle w:val="747A58C255C749A493FDC74C2430238D"/>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ud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96"/>
    <w:rsid w:val="000B3B96"/>
    <w:rsid w:val="001E0F96"/>
    <w:rsid w:val="00223E59"/>
    <w:rsid w:val="002A5D4B"/>
    <w:rsid w:val="004525BC"/>
    <w:rsid w:val="00500823"/>
    <w:rsid w:val="006A3C40"/>
    <w:rsid w:val="006C788C"/>
    <w:rsid w:val="008B63F1"/>
    <w:rsid w:val="00D0418D"/>
    <w:rsid w:val="00E71168"/>
    <w:rsid w:val="00F70FCE"/>
    <w:rsid w:val="00FC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761CBB0EB4E4E93D0BE1B2AFC9354">
    <w:name w:val="347761CBB0EB4E4E93D0BE1B2AFC9354"/>
    <w:rsid w:val="000B3B96"/>
  </w:style>
  <w:style w:type="paragraph" w:customStyle="1" w:styleId="225E0BF8F88D47B3862CAE6F7DD3D70F">
    <w:name w:val="225E0BF8F88D47B3862CAE6F7DD3D70F"/>
    <w:rsid w:val="000B3B96"/>
  </w:style>
  <w:style w:type="paragraph" w:customStyle="1" w:styleId="FEB15CEEA8DF4F2D870D7C1693C3B955">
    <w:name w:val="FEB15CEEA8DF4F2D870D7C1693C3B955"/>
    <w:rsid w:val="000B3B96"/>
  </w:style>
  <w:style w:type="paragraph" w:customStyle="1" w:styleId="747A58C255C749A493FDC74C2430238D">
    <w:name w:val="747A58C255C749A493FDC74C2430238D"/>
    <w:rsid w:val="000B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9" ma:contentTypeDescription="Create a new document." ma:contentTypeScope="" ma:versionID="d4d898c050e52b98d766d23d5eea4c5d">
  <xsd:schema xmlns:xsd="http://www.w3.org/2001/XMLSchema" xmlns:xs="http://www.w3.org/2001/XMLSchema" xmlns:p="http://schemas.microsoft.com/office/2006/metadata/properties" xmlns:ns2="56e8fde9-f66a-4997-8251-f5f2550eef39" xmlns:ns3="1ab9889e-1560-4440-87cb-c03200e41b86" targetNamespace="http://schemas.microsoft.com/office/2006/metadata/properties" ma:root="true" ma:fieldsID="e08a318cdc6cf6c502c986f99dee0772" ns2:_="" ns3:_="">
    <xsd:import namespace="56e8fde9-f66a-4997-8251-f5f2550eef39"/>
    <xsd:import namespace="1ab9889e-1560-4440-87cb-c03200e41b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D0A1-B44C-49D2-B720-2D38F566A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238C8-91DA-4070-8827-5A8D2238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05061-A9B1-4548-8C9F-B0AEF9C1A670}">
  <ds:schemaRefs>
    <ds:schemaRef ds:uri="http://schemas.microsoft.com/sharepoint/v3/contenttype/forms"/>
  </ds:schemaRefs>
</ds:datastoreItem>
</file>

<file path=customXml/itemProps4.xml><?xml version="1.0" encoding="utf-8"?>
<ds:datastoreItem xmlns:ds="http://schemas.openxmlformats.org/officeDocument/2006/customXml" ds:itemID="{251CEA74-9194-4D17-AEE3-F9995AA0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Kuhan Tharmananthar</dc:creator>
  <cp:keywords/>
  <dc:description/>
  <cp:lastModifiedBy>Alison Bargeron</cp:lastModifiedBy>
  <cp:revision>3</cp:revision>
  <cp:lastPrinted>2019-04-25T12:16:00Z</cp:lastPrinted>
  <dcterms:created xsi:type="dcterms:W3CDTF">2019-05-08T22:24:00Z</dcterms:created>
  <dcterms:modified xsi:type="dcterms:W3CDTF">2019-05-09T06:47:00Z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ies>
</file>