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A88F" w14:textId="50815BD9" w:rsidR="009A3FF3" w:rsidRDefault="009A3FF3" w:rsidP="00764B72"/>
    <w:p w14:paraId="662D631E" w14:textId="77777777" w:rsidR="000055CC" w:rsidRDefault="00F35A44" w:rsidP="00764B72">
      <w:r>
        <w:rPr>
          <w:b/>
          <w:noProof/>
          <w:sz w:val="28"/>
          <w:szCs w:val="28"/>
          <w:lang w:eastAsia="en-GB"/>
        </w:rPr>
        <w:drawing>
          <wp:anchor distT="0" distB="0" distL="114300" distR="114300" simplePos="0" relativeHeight="251656192"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764B72"/>
    <w:p w14:paraId="1FFD0C45" w14:textId="0527131F" w:rsidR="00F35A44" w:rsidRPr="000B7CB3" w:rsidRDefault="00F35A44" w:rsidP="00F35A44">
      <w:pPr>
        <w:jc w:val="center"/>
        <w:rPr>
          <w:b/>
          <w:sz w:val="40"/>
        </w:rPr>
      </w:pPr>
      <w:r w:rsidRPr="000B7CB3">
        <w:rPr>
          <w:b/>
          <w:sz w:val="40"/>
        </w:rPr>
        <w:t>D</w:t>
      </w:r>
      <w:r w:rsidR="002E5CA7">
        <w:rPr>
          <w:b/>
          <w:sz w:val="40"/>
        </w:rPr>
        <w:t xml:space="preserve">erivatives </w:t>
      </w:r>
      <w:r w:rsidRPr="000B7CB3">
        <w:rPr>
          <w:b/>
          <w:sz w:val="40"/>
        </w:rPr>
        <w:t>S</w:t>
      </w:r>
      <w:r w:rsidR="002E5CA7">
        <w:rPr>
          <w:b/>
          <w:sz w:val="40"/>
        </w:rPr>
        <w:t xml:space="preserve">ervice </w:t>
      </w:r>
      <w:r w:rsidRPr="000B7CB3">
        <w:rPr>
          <w:b/>
          <w:sz w:val="40"/>
        </w:rPr>
        <w:t>B</w:t>
      </w:r>
      <w:r w:rsidR="002E5CA7">
        <w:rPr>
          <w:b/>
          <w:sz w:val="40"/>
        </w:rPr>
        <w:t>ureau</w:t>
      </w:r>
    </w:p>
    <w:p w14:paraId="49CC6EEF" w14:textId="45D80F38" w:rsidR="002E5CA7" w:rsidRDefault="00B23383" w:rsidP="00F35A44">
      <w:pPr>
        <w:jc w:val="center"/>
        <w:rPr>
          <w:sz w:val="36"/>
        </w:rPr>
      </w:pPr>
      <w:r>
        <w:rPr>
          <w:sz w:val="36"/>
        </w:rPr>
        <w:t xml:space="preserve">Industry Views Sought on </w:t>
      </w:r>
      <w:r w:rsidR="00A95286">
        <w:rPr>
          <w:sz w:val="36"/>
        </w:rPr>
        <w:t xml:space="preserve">Proposed </w:t>
      </w:r>
      <w:r w:rsidR="009C3487">
        <w:rPr>
          <w:sz w:val="36"/>
        </w:rPr>
        <w:t xml:space="preserve">Amendments to </w:t>
      </w:r>
      <w:r w:rsidR="00A95286">
        <w:rPr>
          <w:sz w:val="36"/>
        </w:rPr>
        <w:t xml:space="preserve">Functionality, </w:t>
      </w:r>
      <w:r w:rsidR="008D101F">
        <w:rPr>
          <w:sz w:val="36"/>
        </w:rPr>
        <w:t xml:space="preserve">Data Submission Process, </w:t>
      </w:r>
      <w:r w:rsidR="00A95286">
        <w:rPr>
          <w:sz w:val="36"/>
        </w:rPr>
        <w:t>Service Level</w:t>
      </w:r>
      <w:r w:rsidR="008C6022">
        <w:rPr>
          <w:sz w:val="36"/>
        </w:rPr>
        <w:t>s</w:t>
      </w:r>
      <w:r w:rsidR="009C3487">
        <w:rPr>
          <w:sz w:val="36"/>
        </w:rPr>
        <w:t xml:space="preserve">, </w:t>
      </w:r>
      <w:r w:rsidR="00A95286">
        <w:rPr>
          <w:sz w:val="36"/>
        </w:rPr>
        <w:t xml:space="preserve">Service Availability </w:t>
      </w:r>
      <w:r w:rsidR="009C3487">
        <w:rPr>
          <w:sz w:val="36"/>
        </w:rPr>
        <w:t xml:space="preserve">&amp; </w:t>
      </w:r>
      <w:r w:rsidR="008C6022">
        <w:rPr>
          <w:sz w:val="36"/>
        </w:rPr>
        <w:t>Cybersecurity</w:t>
      </w:r>
      <w:r w:rsidR="008C6022" w:rsidRPr="008C6022">
        <w:rPr>
          <w:sz w:val="36"/>
        </w:rPr>
        <w:t xml:space="preserve"> </w:t>
      </w:r>
      <w:r w:rsidR="008C6022">
        <w:rPr>
          <w:sz w:val="36"/>
        </w:rPr>
        <w:t>in 2020</w:t>
      </w:r>
    </w:p>
    <w:p w14:paraId="42C8A5AF" w14:textId="0DAD74B8" w:rsidR="00F35A44" w:rsidRPr="002E5CA7" w:rsidRDefault="002911C5" w:rsidP="00F35A44">
      <w:pPr>
        <w:jc w:val="center"/>
        <w:rPr>
          <w:b/>
          <w:sz w:val="40"/>
        </w:rPr>
      </w:pPr>
      <w:r w:rsidRPr="00296864">
        <w:rPr>
          <w:noProof/>
          <w:u w:val="single"/>
          <w:lang w:eastAsia="en-GB"/>
        </w:rPr>
        <mc:AlternateContent>
          <mc:Choice Requires="wps">
            <w:drawing>
              <wp:anchor distT="0" distB="0" distL="114300" distR="114300" simplePos="0" relativeHeight="251658240" behindDoc="0" locked="0" layoutInCell="1" allowOverlap="1" wp14:anchorId="04138E55" wp14:editId="74374569">
                <wp:simplePos x="0" y="0"/>
                <wp:positionH relativeFrom="margin">
                  <wp:posOffset>996461</wp:posOffset>
                </wp:positionH>
                <wp:positionV relativeFrom="paragraph">
                  <wp:posOffset>348420</wp:posOffset>
                </wp:positionV>
                <wp:extent cx="4248150" cy="3101975"/>
                <wp:effectExtent l="438150" t="876300" r="419100" b="879475"/>
                <wp:wrapNone/>
                <wp:docPr id="3" name="Text Box 3"/>
                <wp:cNvGraphicFramePr/>
                <a:graphic xmlns:a="http://schemas.openxmlformats.org/drawingml/2006/main">
                  <a:graphicData uri="http://schemas.microsoft.com/office/word/2010/wordprocessingShape">
                    <wps:wsp>
                      <wps:cNvSpPr txBox="1"/>
                      <wps:spPr>
                        <a:xfrm rot="19542728">
                          <a:off x="0" y="0"/>
                          <a:ext cx="4248150" cy="3101975"/>
                        </a:xfrm>
                        <a:prstGeom prst="rect">
                          <a:avLst/>
                        </a:prstGeom>
                        <a:noFill/>
                        <a:ln>
                          <a:noFill/>
                        </a:ln>
                      </wps:spPr>
                      <wps:txbx>
                        <w:txbxContent>
                          <w:p w14:paraId="1C5E6AD3" w14:textId="77777777" w:rsidR="00D52BA4" w:rsidRDefault="00D52BA4" w:rsidP="002911C5">
                            <w:pPr>
                              <w:pStyle w:val="NoSpacing"/>
                              <w:rPr>
                                <w:lang w:val="en-GB"/>
                              </w:rPr>
                            </w:pPr>
                          </w:p>
                          <w:p w14:paraId="6D34D660" w14:textId="24228D52" w:rsidR="00D52BA4" w:rsidRPr="000C74E9" w:rsidRDefault="00D52BA4" w:rsidP="002911C5">
                            <w:pPr>
                              <w:pStyle w:val="NoSpacing"/>
                              <w:rPr>
                                <w:b/>
                                <w:color w:val="F7CAAC" w:themeColor="accent2" w:themeTint="66"/>
                                <w:sz w:val="200"/>
                                <w:lang w:val="en-GB"/>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138E55" id="_x0000_t202" coordsize="21600,21600" o:spt="202" path="m,l,21600r21600,l21600,xe">
                <v:stroke joinstyle="miter"/>
                <v:path gradientshapeok="t" o:connecttype="rect"/>
              </v:shapetype>
              <v:shape id="Text Box 3" o:spid="_x0000_s1026" type="#_x0000_t202" style="position:absolute;left:0;text-align:left;margin-left:78.45pt;margin-top:27.45pt;width:334.5pt;height:244.25pt;rotation:-2247090fd;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" filled="f" stroked="f">
                <v:textbox>
                  <w:txbxContent>
                    <w:p w14:paraId="1C5E6AD3" w14:textId="77777777" w:rsidR="00D52BA4" w:rsidRDefault="00D52BA4" w:rsidP="002911C5">
                      <w:pPr>
                        <w:pStyle w:val="NoSpacing"/>
                        <w:rPr>
                          <w:lang w:val="en-GB"/>
                        </w:rPr>
                      </w:pPr>
                    </w:p>
                    <w:p w14:paraId="6D34D660" w14:textId="24228D52" w:rsidR="00D52BA4" w:rsidRPr="000C74E9" w:rsidRDefault="00D52BA4" w:rsidP="002911C5">
                      <w:pPr>
                        <w:pStyle w:val="NoSpacing"/>
                        <w:rPr>
                          <w:b/>
                          <w:color w:val="F7CAAC" w:themeColor="accent2" w:themeTint="66"/>
                          <w:sz w:val="200"/>
                          <w:lang w:val="en-GB"/>
                          <w14:textOutline w14:w="11112" w14:cap="flat" w14:cmpd="sng" w14:algn="ctr">
                            <w14:solidFill>
                              <w14:schemeClr w14:val="accent2"/>
                            </w14:solidFill>
                            <w14:prstDash w14:val="solid"/>
                            <w14:round/>
                          </w14:textOutline>
                        </w:rPr>
                      </w:pPr>
                    </w:p>
                  </w:txbxContent>
                </v:textbox>
                <w10:wrap anchorx="margin"/>
              </v:shape>
            </w:pict>
          </mc:Fallback>
        </mc:AlternateContent>
      </w:r>
      <w:r w:rsidR="00556B7D" w:rsidRPr="002E5CA7">
        <w:rPr>
          <w:b/>
          <w:sz w:val="40"/>
        </w:rPr>
        <w:t>Consultation Paper</w:t>
      </w:r>
      <w:r w:rsidR="002E5CA7" w:rsidRPr="002E5CA7">
        <w:rPr>
          <w:b/>
          <w:sz w:val="40"/>
        </w:rPr>
        <w:t xml:space="preserve"> 2</w:t>
      </w:r>
    </w:p>
    <w:p w14:paraId="268902C4" w14:textId="29AF38EE" w:rsidR="00F35A44" w:rsidRPr="00BF4618" w:rsidRDefault="008C6022" w:rsidP="00F35A44">
      <w:pPr>
        <w:jc w:val="center"/>
        <w:rPr>
          <w:sz w:val="28"/>
        </w:rPr>
      </w:pPr>
      <w:r>
        <w:rPr>
          <w:sz w:val="28"/>
        </w:rPr>
        <w:t xml:space="preserve">5 July </w:t>
      </w:r>
      <w:r w:rsidR="00556B7D">
        <w:rPr>
          <w:sz w:val="28"/>
        </w:rPr>
        <w:t>201</w:t>
      </w:r>
      <w:r>
        <w:rPr>
          <w:sz w:val="28"/>
        </w:rPr>
        <w:t>9</w:t>
      </w:r>
    </w:p>
    <w:p w14:paraId="713BEB06" w14:textId="77DF172F" w:rsidR="000055CC" w:rsidRDefault="000055CC">
      <w:r>
        <w:br w:type="page"/>
      </w:r>
    </w:p>
    <w:p w14:paraId="22B42C82" w14:textId="77777777" w:rsidR="000055CC" w:rsidRDefault="000E5B24" w:rsidP="00764B72">
      <w:r>
        <w:lastRenderedPageBreak/>
        <w:t xml:space="preserve">  </w:t>
      </w:r>
    </w:p>
    <w:bookmarkStart w:id="0" w:name="_Ref484100588" w:displacedByCustomXml="next"/>
    <w:bookmarkStart w:id="1" w:name="_Toc469647133" w:displacedByCustomXml="next"/>
    <w:bookmarkStart w:id="2" w:name="_Toc469647132" w:displacedByCustomXml="next"/>
    <w:sdt>
      <w:sdtPr>
        <w:rPr>
          <w:rFonts w:asciiTheme="minorHAnsi" w:eastAsiaTheme="minorHAnsi" w:hAnsiTheme="minorHAnsi" w:cstheme="minorBidi"/>
          <w:color w:val="auto"/>
          <w:sz w:val="22"/>
          <w:szCs w:val="22"/>
          <w:lang w:val="en-GB"/>
        </w:rPr>
        <w:id w:val="-674573604"/>
        <w:docPartObj>
          <w:docPartGallery w:val="Table of Contents"/>
          <w:docPartUnique/>
        </w:docPartObj>
      </w:sdtPr>
      <w:sdtEndPr>
        <w:rPr>
          <w:b/>
          <w:bCs/>
          <w:noProof/>
        </w:rPr>
      </w:sdtEndPr>
      <w:sdtContent>
        <w:p w14:paraId="751C3D48" w14:textId="77777777" w:rsidR="00805441" w:rsidRDefault="00805441">
          <w:pPr>
            <w:pStyle w:val="TOCHeading"/>
          </w:pPr>
          <w:r>
            <w:t>Contents</w:t>
          </w:r>
        </w:p>
        <w:p w14:paraId="33BCBA3F" w14:textId="6BA9D7E1" w:rsidR="004C42C8" w:rsidRDefault="00805441">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13157210" w:history="1">
            <w:r w:rsidR="004C42C8" w:rsidRPr="009B385C">
              <w:rPr>
                <w:rStyle w:val="Hyperlink"/>
                <w:noProof/>
              </w:rPr>
              <w:t>1</w:t>
            </w:r>
            <w:r w:rsidR="004C42C8">
              <w:rPr>
                <w:rFonts w:eastAsiaTheme="minorEastAsia"/>
                <w:noProof/>
                <w:lang w:eastAsia="en-GB"/>
              </w:rPr>
              <w:tab/>
            </w:r>
            <w:r w:rsidR="004C42C8" w:rsidRPr="009B385C">
              <w:rPr>
                <w:rStyle w:val="Hyperlink"/>
                <w:noProof/>
              </w:rPr>
              <w:t>Introduction</w:t>
            </w:r>
            <w:r w:rsidR="004C42C8">
              <w:rPr>
                <w:noProof/>
                <w:webHidden/>
              </w:rPr>
              <w:tab/>
            </w:r>
            <w:r w:rsidR="004C42C8">
              <w:rPr>
                <w:noProof/>
                <w:webHidden/>
              </w:rPr>
              <w:fldChar w:fldCharType="begin"/>
            </w:r>
            <w:r w:rsidR="004C42C8">
              <w:rPr>
                <w:noProof/>
                <w:webHidden/>
              </w:rPr>
              <w:instrText xml:space="preserve"> PAGEREF _Toc13157210 \h </w:instrText>
            </w:r>
            <w:r w:rsidR="004C42C8">
              <w:rPr>
                <w:noProof/>
                <w:webHidden/>
              </w:rPr>
            </w:r>
            <w:r w:rsidR="004C42C8">
              <w:rPr>
                <w:noProof/>
                <w:webHidden/>
              </w:rPr>
              <w:fldChar w:fldCharType="separate"/>
            </w:r>
            <w:r w:rsidR="004C42C8">
              <w:rPr>
                <w:noProof/>
                <w:webHidden/>
              </w:rPr>
              <w:t>4</w:t>
            </w:r>
            <w:r w:rsidR="004C42C8">
              <w:rPr>
                <w:noProof/>
                <w:webHidden/>
              </w:rPr>
              <w:fldChar w:fldCharType="end"/>
            </w:r>
          </w:hyperlink>
        </w:p>
        <w:p w14:paraId="6A41C5F2" w14:textId="77435E17" w:rsidR="004C42C8" w:rsidRDefault="00593D89">
          <w:pPr>
            <w:pStyle w:val="TOC1"/>
            <w:rPr>
              <w:rFonts w:eastAsiaTheme="minorEastAsia"/>
              <w:noProof/>
              <w:lang w:eastAsia="en-GB"/>
            </w:rPr>
          </w:pPr>
          <w:hyperlink w:anchor="_Toc13157211" w:history="1">
            <w:r w:rsidR="004C42C8" w:rsidRPr="009B385C">
              <w:rPr>
                <w:rStyle w:val="Hyperlink"/>
                <w:noProof/>
              </w:rPr>
              <w:t>2</w:t>
            </w:r>
            <w:r w:rsidR="004C42C8">
              <w:rPr>
                <w:rFonts w:eastAsiaTheme="minorEastAsia"/>
                <w:noProof/>
                <w:lang w:eastAsia="en-GB"/>
              </w:rPr>
              <w:tab/>
            </w:r>
            <w:r w:rsidR="004C42C8" w:rsidRPr="009B385C">
              <w:rPr>
                <w:rStyle w:val="Hyperlink"/>
                <w:noProof/>
              </w:rPr>
              <w:t>Executive Summary</w:t>
            </w:r>
            <w:r w:rsidR="004C42C8">
              <w:rPr>
                <w:noProof/>
                <w:webHidden/>
              </w:rPr>
              <w:tab/>
            </w:r>
            <w:r w:rsidR="004C42C8">
              <w:rPr>
                <w:noProof/>
                <w:webHidden/>
              </w:rPr>
              <w:fldChar w:fldCharType="begin"/>
            </w:r>
            <w:r w:rsidR="004C42C8">
              <w:rPr>
                <w:noProof/>
                <w:webHidden/>
              </w:rPr>
              <w:instrText xml:space="preserve"> PAGEREF _Toc13157211 \h </w:instrText>
            </w:r>
            <w:r w:rsidR="004C42C8">
              <w:rPr>
                <w:noProof/>
                <w:webHidden/>
              </w:rPr>
            </w:r>
            <w:r w:rsidR="004C42C8">
              <w:rPr>
                <w:noProof/>
                <w:webHidden/>
              </w:rPr>
              <w:fldChar w:fldCharType="separate"/>
            </w:r>
            <w:r w:rsidR="004C42C8">
              <w:rPr>
                <w:noProof/>
                <w:webHidden/>
              </w:rPr>
              <w:t>5</w:t>
            </w:r>
            <w:r w:rsidR="004C42C8">
              <w:rPr>
                <w:noProof/>
                <w:webHidden/>
              </w:rPr>
              <w:fldChar w:fldCharType="end"/>
            </w:r>
          </w:hyperlink>
        </w:p>
        <w:p w14:paraId="7853C48E" w14:textId="63C6291A" w:rsidR="004C42C8" w:rsidRDefault="00593D89">
          <w:pPr>
            <w:pStyle w:val="TOC1"/>
            <w:rPr>
              <w:rFonts w:eastAsiaTheme="minorEastAsia"/>
              <w:noProof/>
              <w:lang w:eastAsia="en-GB"/>
            </w:rPr>
          </w:pPr>
          <w:hyperlink w:anchor="_Toc13157212" w:history="1">
            <w:r w:rsidR="004C42C8" w:rsidRPr="009B385C">
              <w:rPr>
                <w:rStyle w:val="Hyperlink"/>
                <w:noProof/>
              </w:rPr>
              <w:t>3</w:t>
            </w:r>
            <w:r w:rsidR="004C42C8">
              <w:rPr>
                <w:rFonts w:eastAsiaTheme="minorEastAsia"/>
                <w:noProof/>
                <w:lang w:eastAsia="en-GB"/>
              </w:rPr>
              <w:tab/>
            </w:r>
            <w:r w:rsidR="004C42C8" w:rsidRPr="009B385C">
              <w:rPr>
                <w:rStyle w:val="Hyperlink"/>
                <w:noProof/>
              </w:rPr>
              <w:t>Consultation Timeline</w:t>
            </w:r>
            <w:r w:rsidR="004C42C8">
              <w:rPr>
                <w:noProof/>
                <w:webHidden/>
              </w:rPr>
              <w:tab/>
            </w:r>
            <w:r w:rsidR="004C42C8">
              <w:rPr>
                <w:noProof/>
                <w:webHidden/>
              </w:rPr>
              <w:fldChar w:fldCharType="begin"/>
            </w:r>
            <w:r w:rsidR="004C42C8">
              <w:rPr>
                <w:noProof/>
                <w:webHidden/>
              </w:rPr>
              <w:instrText xml:space="preserve"> PAGEREF _Toc13157212 \h </w:instrText>
            </w:r>
            <w:r w:rsidR="004C42C8">
              <w:rPr>
                <w:noProof/>
                <w:webHidden/>
              </w:rPr>
            </w:r>
            <w:r w:rsidR="004C42C8">
              <w:rPr>
                <w:noProof/>
                <w:webHidden/>
              </w:rPr>
              <w:fldChar w:fldCharType="separate"/>
            </w:r>
            <w:r w:rsidR="004C42C8">
              <w:rPr>
                <w:noProof/>
                <w:webHidden/>
              </w:rPr>
              <w:t>7</w:t>
            </w:r>
            <w:r w:rsidR="004C42C8">
              <w:rPr>
                <w:noProof/>
                <w:webHidden/>
              </w:rPr>
              <w:fldChar w:fldCharType="end"/>
            </w:r>
          </w:hyperlink>
        </w:p>
        <w:p w14:paraId="40A86E27" w14:textId="369A26C9" w:rsidR="004C42C8" w:rsidRDefault="00593D89">
          <w:pPr>
            <w:pStyle w:val="TOC1"/>
            <w:rPr>
              <w:rFonts w:eastAsiaTheme="minorEastAsia"/>
              <w:noProof/>
              <w:lang w:eastAsia="en-GB"/>
            </w:rPr>
          </w:pPr>
          <w:hyperlink w:anchor="_Toc13157213" w:history="1">
            <w:r w:rsidR="004C42C8" w:rsidRPr="009B385C">
              <w:rPr>
                <w:rStyle w:val="Hyperlink"/>
                <w:noProof/>
              </w:rPr>
              <w:t>4</w:t>
            </w:r>
            <w:r w:rsidR="004C42C8">
              <w:rPr>
                <w:rFonts w:eastAsiaTheme="minorEastAsia"/>
                <w:noProof/>
                <w:lang w:eastAsia="en-GB"/>
              </w:rPr>
              <w:tab/>
            </w:r>
            <w:r w:rsidR="004C42C8" w:rsidRPr="009B385C">
              <w:rPr>
                <w:rStyle w:val="Hyperlink"/>
                <w:noProof/>
              </w:rPr>
              <w:t>Principles</w:t>
            </w:r>
            <w:r w:rsidR="004C42C8">
              <w:rPr>
                <w:noProof/>
                <w:webHidden/>
              </w:rPr>
              <w:tab/>
            </w:r>
            <w:r w:rsidR="004C42C8">
              <w:rPr>
                <w:noProof/>
                <w:webHidden/>
              </w:rPr>
              <w:fldChar w:fldCharType="begin"/>
            </w:r>
            <w:r w:rsidR="004C42C8">
              <w:rPr>
                <w:noProof/>
                <w:webHidden/>
              </w:rPr>
              <w:instrText xml:space="preserve"> PAGEREF _Toc13157213 \h </w:instrText>
            </w:r>
            <w:r w:rsidR="004C42C8">
              <w:rPr>
                <w:noProof/>
                <w:webHidden/>
              </w:rPr>
            </w:r>
            <w:r w:rsidR="004C42C8">
              <w:rPr>
                <w:noProof/>
                <w:webHidden/>
              </w:rPr>
              <w:fldChar w:fldCharType="separate"/>
            </w:r>
            <w:r w:rsidR="004C42C8">
              <w:rPr>
                <w:noProof/>
                <w:webHidden/>
              </w:rPr>
              <w:t>8</w:t>
            </w:r>
            <w:r w:rsidR="004C42C8">
              <w:rPr>
                <w:noProof/>
                <w:webHidden/>
              </w:rPr>
              <w:fldChar w:fldCharType="end"/>
            </w:r>
          </w:hyperlink>
        </w:p>
        <w:p w14:paraId="18969DAB" w14:textId="5CB34341" w:rsidR="004C42C8" w:rsidRDefault="00593D89">
          <w:pPr>
            <w:pStyle w:val="TOC1"/>
            <w:rPr>
              <w:rFonts w:eastAsiaTheme="minorEastAsia"/>
              <w:noProof/>
              <w:lang w:eastAsia="en-GB"/>
            </w:rPr>
          </w:pPr>
          <w:hyperlink w:anchor="_Toc13157214" w:history="1">
            <w:r w:rsidR="004C42C8" w:rsidRPr="009B385C">
              <w:rPr>
                <w:rStyle w:val="Hyperlink"/>
                <w:noProof/>
              </w:rPr>
              <w:t>5</w:t>
            </w:r>
            <w:r w:rsidR="004C42C8">
              <w:rPr>
                <w:rFonts w:eastAsiaTheme="minorEastAsia"/>
                <w:noProof/>
                <w:lang w:eastAsia="en-GB"/>
              </w:rPr>
              <w:tab/>
            </w:r>
            <w:r w:rsidR="004C42C8" w:rsidRPr="009B385C">
              <w:rPr>
                <w:rStyle w:val="Hyperlink"/>
                <w:noProof/>
              </w:rPr>
              <w:t>Response Highlights</w:t>
            </w:r>
            <w:r w:rsidR="004C42C8">
              <w:rPr>
                <w:noProof/>
                <w:webHidden/>
              </w:rPr>
              <w:tab/>
            </w:r>
            <w:r w:rsidR="004C42C8">
              <w:rPr>
                <w:noProof/>
                <w:webHidden/>
              </w:rPr>
              <w:fldChar w:fldCharType="begin"/>
            </w:r>
            <w:r w:rsidR="004C42C8">
              <w:rPr>
                <w:noProof/>
                <w:webHidden/>
              </w:rPr>
              <w:instrText xml:space="preserve"> PAGEREF _Toc13157214 \h </w:instrText>
            </w:r>
            <w:r w:rsidR="004C42C8">
              <w:rPr>
                <w:noProof/>
                <w:webHidden/>
              </w:rPr>
            </w:r>
            <w:r w:rsidR="004C42C8">
              <w:rPr>
                <w:noProof/>
                <w:webHidden/>
              </w:rPr>
              <w:fldChar w:fldCharType="separate"/>
            </w:r>
            <w:r w:rsidR="004C42C8">
              <w:rPr>
                <w:noProof/>
                <w:webHidden/>
              </w:rPr>
              <w:t>9</w:t>
            </w:r>
            <w:r w:rsidR="004C42C8">
              <w:rPr>
                <w:noProof/>
                <w:webHidden/>
              </w:rPr>
              <w:fldChar w:fldCharType="end"/>
            </w:r>
          </w:hyperlink>
        </w:p>
        <w:p w14:paraId="652B783E" w14:textId="52016F56" w:rsidR="004C42C8" w:rsidRDefault="00593D89">
          <w:pPr>
            <w:pStyle w:val="TOC2"/>
            <w:rPr>
              <w:rFonts w:eastAsiaTheme="minorEastAsia"/>
              <w:noProof/>
              <w:lang w:eastAsia="en-GB"/>
            </w:rPr>
          </w:pPr>
          <w:hyperlink w:anchor="_Toc13157215" w:history="1">
            <w:r w:rsidR="004C42C8" w:rsidRPr="009B385C">
              <w:rPr>
                <w:rStyle w:val="Hyperlink"/>
                <w:noProof/>
              </w:rPr>
              <w:t>5.1</w:t>
            </w:r>
            <w:r w:rsidR="004C42C8">
              <w:rPr>
                <w:rFonts w:eastAsiaTheme="minorEastAsia"/>
                <w:noProof/>
                <w:lang w:eastAsia="en-GB"/>
              </w:rPr>
              <w:tab/>
            </w:r>
            <w:r w:rsidR="004C42C8" w:rsidRPr="009B385C">
              <w:rPr>
                <w:rStyle w:val="Hyperlink"/>
                <w:noProof/>
              </w:rPr>
              <w:t>FUNCTIONALITY</w:t>
            </w:r>
            <w:r w:rsidR="004C42C8">
              <w:rPr>
                <w:noProof/>
                <w:webHidden/>
              </w:rPr>
              <w:tab/>
            </w:r>
            <w:r w:rsidR="004C42C8">
              <w:rPr>
                <w:noProof/>
                <w:webHidden/>
              </w:rPr>
              <w:fldChar w:fldCharType="begin"/>
            </w:r>
            <w:r w:rsidR="004C42C8">
              <w:rPr>
                <w:noProof/>
                <w:webHidden/>
              </w:rPr>
              <w:instrText xml:space="preserve"> PAGEREF _Toc13157215 \h </w:instrText>
            </w:r>
            <w:r w:rsidR="004C42C8">
              <w:rPr>
                <w:noProof/>
                <w:webHidden/>
              </w:rPr>
            </w:r>
            <w:r w:rsidR="004C42C8">
              <w:rPr>
                <w:noProof/>
                <w:webHidden/>
              </w:rPr>
              <w:fldChar w:fldCharType="separate"/>
            </w:r>
            <w:r w:rsidR="004C42C8">
              <w:rPr>
                <w:noProof/>
                <w:webHidden/>
              </w:rPr>
              <w:t>10</w:t>
            </w:r>
            <w:r w:rsidR="004C42C8">
              <w:rPr>
                <w:noProof/>
                <w:webHidden/>
              </w:rPr>
              <w:fldChar w:fldCharType="end"/>
            </w:r>
          </w:hyperlink>
        </w:p>
        <w:p w14:paraId="4FB0DB88" w14:textId="35662069" w:rsidR="004C42C8" w:rsidRDefault="00593D89">
          <w:pPr>
            <w:pStyle w:val="TOC3"/>
            <w:rPr>
              <w:rFonts w:eastAsiaTheme="minorEastAsia"/>
              <w:noProof/>
              <w:lang w:eastAsia="en-GB"/>
            </w:rPr>
          </w:pPr>
          <w:hyperlink w:anchor="_Toc13157216" w:history="1">
            <w:r w:rsidR="004C42C8" w:rsidRPr="009B385C">
              <w:rPr>
                <w:rStyle w:val="Hyperlink"/>
                <w:noProof/>
              </w:rPr>
              <w:t>5.1.1</w:t>
            </w:r>
            <w:r w:rsidR="004C42C8">
              <w:rPr>
                <w:rFonts w:eastAsiaTheme="minorEastAsia"/>
                <w:noProof/>
                <w:lang w:eastAsia="en-GB"/>
              </w:rPr>
              <w:tab/>
            </w:r>
            <w:r w:rsidR="004C42C8" w:rsidRPr="009B385C">
              <w:rPr>
                <w:rStyle w:val="Hyperlink"/>
                <w:noProof/>
              </w:rPr>
              <w:t>Q1.1 – CFI CODES FOR EMIR</w:t>
            </w:r>
            <w:r w:rsidR="004C42C8">
              <w:rPr>
                <w:noProof/>
                <w:webHidden/>
              </w:rPr>
              <w:tab/>
            </w:r>
            <w:r w:rsidR="004C42C8">
              <w:rPr>
                <w:noProof/>
                <w:webHidden/>
              </w:rPr>
              <w:fldChar w:fldCharType="begin"/>
            </w:r>
            <w:r w:rsidR="004C42C8">
              <w:rPr>
                <w:noProof/>
                <w:webHidden/>
              </w:rPr>
              <w:instrText xml:space="preserve"> PAGEREF _Toc13157216 \h </w:instrText>
            </w:r>
            <w:r w:rsidR="004C42C8">
              <w:rPr>
                <w:noProof/>
                <w:webHidden/>
              </w:rPr>
            </w:r>
            <w:r w:rsidR="004C42C8">
              <w:rPr>
                <w:noProof/>
                <w:webHidden/>
              </w:rPr>
              <w:fldChar w:fldCharType="separate"/>
            </w:r>
            <w:r w:rsidR="004C42C8">
              <w:rPr>
                <w:noProof/>
                <w:webHidden/>
              </w:rPr>
              <w:t>11</w:t>
            </w:r>
            <w:r w:rsidR="004C42C8">
              <w:rPr>
                <w:noProof/>
                <w:webHidden/>
              </w:rPr>
              <w:fldChar w:fldCharType="end"/>
            </w:r>
          </w:hyperlink>
        </w:p>
        <w:p w14:paraId="4EE2D7A8" w14:textId="02618761" w:rsidR="004C42C8" w:rsidRDefault="00593D89">
          <w:pPr>
            <w:pStyle w:val="TOC3"/>
            <w:rPr>
              <w:rFonts w:eastAsiaTheme="minorEastAsia"/>
              <w:noProof/>
              <w:lang w:eastAsia="en-GB"/>
            </w:rPr>
          </w:pPr>
          <w:hyperlink w:anchor="_Toc13157217" w:history="1">
            <w:r w:rsidR="004C42C8" w:rsidRPr="009B385C">
              <w:rPr>
                <w:rStyle w:val="Hyperlink"/>
                <w:noProof/>
              </w:rPr>
              <w:t>5.1.2</w:t>
            </w:r>
            <w:r w:rsidR="004C42C8">
              <w:rPr>
                <w:rFonts w:eastAsiaTheme="minorEastAsia"/>
                <w:noProof/>
                <w:lang w:eastAsia="en-GB"/>
              </w:rPr>
              <w:tab/>
            </w:r>
            <w:r w:rsidR="004C42C8" w:rsidRPr="009B385C">
              <w:rPr>
                <w:rStyle w:val="Hyperlink"/>
                <w:noProof/>
              </w:rPr>
              <w:t>Q1.2 – MAPPING TO MIFID II TAXONOMY</w:t>
            </w:r>
            <w:r w:rsidR="004C42C8">
              <w:rPr>
                <w:noProof/>
                <w:webHidden/>
              </w:rPr>
              <w:tab/>
            </w:r>
            <w:r w:rsidR="004C42C8">
              <w:rPr>
                <w:noProof/>
                <w:webHidden/>
              </w:rPr>
              <w:fldChar w:fldCharType="begin"/>
            </w:r>
            <w:r w:rsidR="004C42C8">
              <w:rPr>
                <w:noProof/>
                <w:webHidden/>
              </w:rPr>
              <w:instrText xml:space="preserve"> PAGEREF _Toc13157217 \h </w:instrText>
            </w:r>
            <w:r w:rsidR="004C42C8">
              <w:rPr>
                <w:noProof/>
                <w:webHidden/>
              </w:rPr>
            </w:r>
            <w:r w:rsidR="004C42C8">
              <w:rPr>
                <w:noProof/>
                <w:webHidden/>
              </w:rPr>
              <w:fldChar w:fldCharType="separate"/>
            </w:r>
            <w:r w:rsidR="004C42C8">
              <w:rPr>
                <w:noProof/>
                <w:webHidden/>
              </w:rPr>
              <w:t>15</w:t>
            </w:r>
            <w:r w:rsidR="004C42C8">
              <w:rPr>
                <w:noProof/>
                <w:webHidden/>
              </w:rPr>
              <w:fldChar w:fldCharType="end"/>
            </w:r>
          </w:hyperlink>
        </w:p>
        <w:p w14:paraId="6F782D68" w14:textId="048A0F18" w:rsidR="004C42C8" w:rsidRDefault="00593D89">
          <w:pPr>
            <w:pStyle w:val="TOC3"/>
            <w:rPr>
              <w:rFonts w:eastAsiaTheme="minorEastAsia"/>
              <w:noProof/>
              <w:lang w:eastAsia="en-GB"/>
            </w:rPr>
          </w:pPr>
          <w:hyperlink w:anchor="_Toc13157218" w:history="1">
            <w:r w:rsidR="004C42C8" w:rsidRPr="009B385C">
              <w:rPr>
                <w:rStyle w:val="Hyperlink"/>
                <w:noProof/>
              </w:rPr>
              <w:t>5.1.3</w:t>
            </w:r>
            <w:r w:rsidR="004C42C8">
              <w:rPr>
                <w:rFonts w:eastAsiaTheme="minorEastAsia"/>
                <w:noProof/>
                <w:lang w:eastAsia="en-GB"/>
              </w:rPr>
              <w:tab/>
            </w:r>
            <w:r w:rsidR="004C42C8" w:rsidRPr="009B385C">
              <w:rPr>
                <w:rStyle w:val="Hyperlink"/>
                <w:noProof/>
              </w:rPr>
              <w:t>Q1.3 – DEFAULT VALUES IN ISIN PRODUCT TEMPLATES</w:t>
            </w:r>
            <w:r w:rsidR="004C42C8">
              <w:rPr>
                <w:noProof/>
                <w:webHidden/>
              </w:rPr>
              <w:tab/>
            </w:r>
            <w:r w:rsidR="004C42C8">
              <w:rPr>
                <w:noProof/>
                <w:webHidden/>
              </w:rPr>
              <w:fldChar w:fldCharType="begin"/>
            </w:r>
            <w:r w:rsidR="004C42C8">
              <w:rPr>
                <w:noProof/>
                <w:webHidden/>
              </w:rPr>
              <w:instrText xml:space="preserve"> PAGEREF _Toc13157218 \h </w:instrText>
            </w:r>
            <w:r w:rsidR="004C42C8">
              <w:rPr>
                <w:noProof/>
                <w:webHidden/>
              </w:rPr>
            </w:r>
            <w:r w:rsidR="004C42C8">
              <w:rPr>
                <w:noProof/>
                <w:webHidden/>
              </w:rPr>
              <w:fldChar w:fldCharType="separate"/>
            </w:r>
            <w:r w:rsidR="004C42C8">
              <w:rPr>
                <w:noProof/>
                <w:webHidden/>
              </w:rPr>
              <w:t>17</w:t>
            </w:r>
            <w:r w:rsidR="004C42C8">
              <w:rPr>
                <w:noProof/>
                <w:webHidden/>
              </w:rPr>
              <w:fldChar w:fldCharType="end"/>
            </w:r>
          </w:hyperlink>
        </w:p>
        <w:p w14:paraId="7072E5C4" w14:textId="2007B59F" w:rsidR="004C42C8" w:rsidRDefault="00593D89">
          <w:pPr>
            <w:pStyle w:val="TOC3"/>
            <w:rPr>
              <w:rFonts w:eastAsiaTheme="minorEastAsia"/>
              <w:noProof/>
              <w:lang w:eastAsia="en-GB"/>
            </w:rPr>
          </w:pPr>
          <w:hyperlink w:anchor="_Toc13157219" w:history="1">
            <w:r w:rsidR="004C42C8" w:rsidRPr="009B385C">
              <w:rPr>
                <w:rStyle w:val="Hyperlink"/>
                <w:noProof/>
              </w:rPr>
              <w:t>5.1.4</w:t>
            </w:r>
            <w:r w:rsidR="004C42C8">
              <w:rPr>
                <w:rFonts w:eastAsiaTheme="minorEastAsia"/>
                <w:noProof/>
                <w:lang w:eastAsia="en-GB"/>
              </w:rPr>
              <w:tab/>
            </w:r>
            <w:r w:rsidR="004C42C8" w:rsidRPr="009B385C">
              <w:rPr>
                <w:rStyle w:val="Hyperlink"/>
                <w:noProof/>
              </w:rPr>
              <w:t>Q1.4 – UNDERLYING IDENTIFIERS</w:t>
            </w:r>
            <w:r w:rsidR="004C42C8">
              <w:rPr>
                <w:noProof/>
                <w:webHidden/>
              </w:rPr>
              <w:tab/>
            </w:r>
            <w:r w:rsidR="004C42C8">
              <w:rPr>
                <w:noProof/>
                <w:webHidden/>
              </w:rPr>
              <w:fldChar w:fldCharType="begin"/>
            </w:r>
            <w:r w:rsidR="004C42C8">
              <w:rPr>
                <w:noProof/>
                <w:webHidden/>
              </w:rPr>
              <w:instrText xml:space="preserve"> PAGEREF _Toc13157219 \h </w:instrText>
            </w:r>
            <w:r w:rsidR="004C42C8">
              <w:rPr>
                <w:noProof/>
                <w:webHidden/>
              </w:rPr>
            </w:r>
            <w:r w:rsidR="004C42C8">
              <w:rPr>
                <w:noProof/>
                <w:webHidden/>
              </w:rPr>
              <w:fldChar w:fldCharType="separate"/>
            </w:r>
            <w:r w:rsidR="004C42C8">
              <w:rPr>
                <w:noProof/>
                <w:webHidden/>
              </w:rPr>
              <w:t>19</w:t>
            </w:r>
            <w:r w:rsidR="004C42C8">
              <w:rPr>
                <w:noProof/>
                <w:webHidden/>
              </w:rPr>
              <w:fldChar w:fldCharType="end"/>
            </w:r>
          </w:hyperlink>
        </w:p>
        <w:p w14:paraId="02E57B21" w14:textId="2DC88C31" w:rsidR="004C42C8" w:rsidRDefault="00593D89">
          <w:pPr>
            <w:pStyle w:val="TOC3"/>
            <w:rPr>
              <w:rFonts w:eastAsiaTheme="minorEastAsia"/>
              <w:noProof/>
              <w:lang w:eastAsia="en-GB"/>
            </w:rPr>
          </w:pPr>
          <w:hyperlink w:anchor="_Toc13157220" w:history="1">
            <w:r w:rsidR="004C42C8" w:rsidRPr="009B385C">
              <w:rPr>
                <w:rStyle w:val="Hyperlink"/>
                <w:noProof/>
              </w:rPr>
              <w:t>5.1.5</w:t>
            </w:r>
            <w:r w:rsidR="004C42C8">
              <w:rPr>
                <w:rFonts w:eastAsiaTheme="minorEastAsia"/>
                <w:noProof/>
                <w:lang w:eastAsia="en-GB"/>
              </w:rPr>
              <w:tab/>
            </w:r>
            <w:r w:rsidR="004C42C8" w:rsidRPr="009B385C">
              <w:rPr>
                <w:rStyle w:val="Hyperlink"/>
                <w:noProof/>
              </w:rPr>
              <w:t>Q1.5 – GUI ENHANCEMENTS</w:t>
            </w:r>
            <w:r w:rsidR="004C42C8">
              <w:rPr>
                <w:noProof/>
                <w:webHidden/>
              </w:rPr>
              <w:tab/>
            </w:r>
            <w:r w:rsidR="004C42C8">
              <w:rPr>
                <w:noProof/>
                <w:webHidden/>
              </w:rPr>
              <w:fldChar w:fldCharType="begin"/>
            </w:r>
            <w:r w:rsidR="004C42C8">
              <w:rPr>
                <w:noProof/>
                <w:webHidden/>
              </w:rPr>
              <w:instrText xml:space="preserve"> PAGEREF _Toc13157220 \h </w:instrText>
            </w:r>
            <w:r w:rsidR="004C42C8">
              <w:rPr>
                <w:noProof/>
                <w:webHidden/>
              </w:rPr>
            </w:r>
            <w:r w:rsidR="004C42C8">
              <w:rPr>
                <w:noProof/>
                <w:webHidden/>
              </w:rPr>
              <w:fldChar w:fldCharType="separate"/>
            </w:r>
            <w:r w:rsidR="004C42C8">
              <w:rPr>
                <w:noProof/>
                <w:webHidden/>
              </w:rPr>
              <w:t>20</w:t>
            </w:r>
            <w:r w:rsidR="004C42C8">
              <w:rPr>
                <w:noProof/>
                <w:webHidden/>
              </w:rPr>
              <w:fldChar w:fldCharType="end"/>
            </w:r>
          </w:hyperlink>
        </w:p>
        <w:p w14:paraId="38B15C42" w14:textId="6EDC193F" w:rsidR="004C42C8" w:rsidRDefault="00593D89">
          <w:pPr>
            <w:pStyle w:val="TOC3"/>
            <w:rPr>
              <w:rFonts w:eastAsiaTheme="minorEastAsia"/>
              <w:noProof/>
              <w:lang w:eastAsia="en-GB"/>
            </w:rPr>
          </w:pPr>
          <w:hyperlink w:anchor="_Toc13157221" w:history="1">
            <w:r w:rsidR="004C42C8" w:rsidRPr="009B385C">
              <w:rPr>
                <w:rStyle w:val="Hyperlink"/>
                <w:noProof/>
              </w:rPr>
              <w:t>5.1.6</w:t>
            </w:r>
            <w:r w:rsidR="004C42C8">
              <w:rPr>
                <w:rFonts w:eastAsiaTheme="minorEastAsia"/>
                <w:noProof/>
                <w:lang w:eastAsia="en-GB"/>
              </w:rPr>
              <w:tab/>
            </w:r>
            <w:r w:rsidR="004C42C8" w:rsidRPr="009B385C">
              <w:rPr>
                <w:rStyle w:val="Hyperlink"/>
                <w:noProof/>
              </w:rPr>
              <w:t>Q1.6 – OTHER TECHNICAL ENHANCEMENTS</w:t>
            </w:r>
            <w:r w:rsidR="004C42C8">
              <w:rPr>
                <w:noProof/>
                <w:webHidden/>
              </w:rPr>
              <w:tab/>
            </w:r>
            <w:r w:rsidR="004C42C8">
              <w:rPr>
                <w:noProof/>
                <w:webHidden/>
              </w:rPr>
              <w:fldChar w:fldCharType="begin"/>
            </w:r>
            <w:r w:rsidR="004C42C8">
              <w:rPr>
                <w:noProof/>
                <w:webHidden/>
              </w:rPr>
              <w:instrText xml:space="preserve"> PAGEREF _Toc13157221 \h </w:instrText>
            </w:r>
            <w:r w:rsidR="004C42C8">
              <w:rPr>
                <w:noProof/>
                <w:webHidden/>
              </w:rPr>
            </w:r>
            <w:r w:rsidR="004C42C8">
              <w:rPr>
                <w:noProof/>
                <w:webHidden/>
              </w:rPr>
              <w:fldChar w:fldCharType="separate"/>
            </w:r>
            <w:r w:rsidR="004C42C8">
              <w:rPr>
                <w:noProof/>
                <w:webHidden/>
              </w:rPr>
              <w:t>21</w:t>
            </w:r>
            <w:r w:rsidR="004C42C8">
              <w:rPr>
                <w:noProof/>
                <w:webHidden/>
              </w:rPr>
              <w:fldChar w:fldCharType="end"/>
            </w:r>
          </w:hyperlink>
        </w:p>
        <w:p w14:paraId="072D1D75" w14:textId="602F1F12" w:rsidR="004C42C8" w:rsidRDefault="00593D89">
          <w:pPr>
            <w:pStyle w:val="TOC2"/>
            <w:rPr>
              <w:rFonts w:eastAsiaTheme="minorEastAsia"/>
              <w:noProof/>
              <w:lang w:eastAsia="en-GB"/>
            </w:rPr>
          </w:pPr>
          <w:hyperlink w:anchor="_Toc13157222" w:history="1">
            <w:r w:rsidR="004C42C8" w:rsidRPr="009B385C">
              <w:rPr>
                <w:rStyle w:val="Hyperlink"/>
                <w:noProof/>
              </w:rPr>
              <w:t>5.2</w:t>
            </w:r>
            <w:r w:rsidR="004C42C8">
              <w:rPr>
                <w:rFonts w:eastAsiaTheme="minorEastAsia"/>
                <w:noProof/>
                <w:lang w:eastAsia="en-GB"/>
              </w:rPr>
              <w:tab/>
            </w:r>
            <w:r w:rsidR="004C42C8" w:rsidRPr="009B385C">
              <w:rPr>
                <w:rStyle w:val="Hyperlink"/>
                <w:noProof/>
              </w:rPr>
              <w:t>DATA SUBMISSION ENHANCEMENTS</w:t>
            </w:r>
            <w:r w:rsidR="004C42C8">
              <w:rPr>
                <w:noProof/>
                <w:webHidden/>
              </w:rPr>
              <w:tab/>
            </w:r>
            <w:r w:rsidR="004C42C8">
              <w:rPr>
                <w:noProof/>
                <w:webHidden/>
              </w:rPr>
              <w:fldChar w:fldCharType="begin"/>
            </w:r>
            <w:r w:rsidR="004C42C8">
              <w:rPr>
                <w:noProof/>
                <w:webHidden/>
              </w:rPr>
              <w:instrText xml:space="preserve"> PAGEREF _Toc13157222 \h </w:instrText>
            </w:r>
            <w:r w:rsidR="004C42C8">
              <w:rPr>
                <w:noProof/>
                <w:webHidden/>
              </w:rPr>
            </w:r>
            <w:r w:rsidR="004C42C8">
              <w:rPr>
                <w:noProof/>
                <w:webHidden/>
              </w:rPr>
              <w:fldChar w:fldCharType="separate"/>
            </w:r>
            <w:r w:rsidR="004C42C8">
              <w:rPr>
                <w:noProof/>
                <w:webHidden/>
              </w:rPr>
              <w:t>23</w:t>
            </w:r>
            <w:r w:rsidR="004C42C8">
              <w:rPr>
                <w:noProof/>
                <w:webHidden/>
              </w:rPr>
              <w:fldChar w:fldCharType="end"/>
            </w:r>
          </w:hyperlink>
        </w:p>
        <w:p w14:paraId="68CFD4F0" w14:textId="0F357F40" w:rsidR="004C42C8" w:rsidRDefault="00593D89">
          <w:pPr>
            <w:pStyle w:val="TOC3"/>
            <w:rPr>
              <w:rFonts w:eastAsiaTheme="minorEastAsia"/>
              <w:noProof/>
              <w:lang w:eastAsia="en-GB"/>
            </w:rPr>
          </w:pPr>
          <w:hyperlink w:anchor="_Toc13157223" w:history="1">
            <w:r w:rsidR="004C42C8" w:rsidRPr="009B385C">
              <w:rPr>
                <w:rStyle w:val="Hyperlink"/>
                <w:noProof/>
              </w:rPr>
              <w:t>5.2.1</w:t>
            </w:r>
            <w:r w:rsidR="004C42C8">
              <w:rPr>
                <w:rFonts w:eastAsiaTheme="minorEastAsia"/>
                <w:noProof/>
                <w:lang w:eastAsia="en-GB"/>
              </w:rPr>
              <w:tab/>
            </w:r>
            <w:r w:rsidR="004C42C8" w:rsidRPr="009B385C">
              <w:rPr>
                <w:rStyle w:val="Hyperlink"/>
                <w:noProof/>
              </w:rPr>
              <w:t>Q2.1(b) – TOOL FOR PROPRIETARY INDEX SUBMISSIONS</w:t>
            </w:r>
            <w:r w:rsidR="004C42C8">
              <w:rPr>
                <w:noProof/>
                <w:webHidden/>
              </w:rPr>
              <w:tab/>
            </w:r>
            <w:r w:rsidR="004C42C8">
              <w:rPr>
                <w:noProof/>
                <w:webHidden/>
              </w:rPr>
              <w:fldChar w:fldCharType="begin"/>
            </w:r>
            <w:r w:rsidR="004C42C8">
              <w:rPr>
                <w:noProof/>
                <w:webHidden/>
              </w:rPr>
              <w:instrText xml:space="preserve"> PAGEREF _Toc13157223 \h </w:instrText>
            </w:r>
            <w:r w:rsidR="004C42C8">
              <w:rPr>
                <w:noProof/>
                <w:webHidden/>
              </w:rPr>
            </w:r>
            <w:r w:rsidR="004C42C8">
              <w:rPr>
                <w:noProof/>
                <w:webHidden/>
              </w:rPr>
              <w:fldChar w:fldCharType="separate"/>
            </w:r>
            <w:r w:rsidR="004C42C8">
              <w:rPr>
                <w:noProof/>
                <w:webHidden/>
              </w:rPr>
              <w:t>24</w:t>
            </w:r>
            <w:r w:rsidR="004C42C8">
              <w:rPr>
                <w:noProof/>
                <w:webHidden/>
              </w:rPr>
              <w:fldChar w:fldCharType="end"/>
            </w:r>
          </w:hyperlink>
        </w:p>
        <w:p w14:paraId="0828E750" w14:textId="1A4C8E3A" w:rsidR="004C42C8" w:rsidRDefault="00593D89">
          <w:pPr>
            <w:pStyle w:val="TOC3"/>
            <w:rPr>
              <w:rFonts w:eastAsiaTheme="minorEastAsia"/>
              <w:noProof/>
              <w:lang w:eastAsia="en-GB"/>
            </w:rPr>
          </w:pPr>
          <w:hyperlink w:anchor="_Toc13157224" w:history="1">
            <w:r w:rsidR="004C42C8" w:rsidRPr="009B385C">
              <w:rPr>
                <w:rStyle w:val="Hyperlink"/>
                <w:noProof/>
              </w:rPr>
              <w:t>5.2.2</w:t>
            </w:r>
            <w:r w:rsidR="004C42C8">
              <w:rPr>
                <w:rFonts w:eastAsiaTheme="minorEastAsia"/>
                <w:noProof/>
                <w:lang w:eastAsia="en-GB"/>
              </w:rPr>
              <w:tab/>
            </w:r>
            <w:r w:rsidR="004C42C8" w:rsidRPr="009B385C">
              <w:rPr>
                <w:rStyle w:val="Hyperlink"/>
                <w:noProof/>
              </w:rPr>
              <w:t>Q2.1(c) &amp; (d) – SLA FOR PROPRIETARY INDEX</w:t>
            </w:r>
            <w:r w:rsidR="004C42C8">
              <w:rPr>
                <w:noProof/>
                <w:webHidden/>
              </w:rPr>
              <w:tab/>
            </w:r>
            <w:r w:rsidR="004C42C8">
              <w:rPr>
                <w:noProof/>
                <w:webHidden/>
              </w:rPr>
              <w:fldChar w:fldCharType="begin"/>
            </w:r>
            <w:r w:rsidR="004C42C8">
              <w:rPr>
                <w:noProof/>
                <w:webHidden/>
              </w:rPr>
              <w:instrText xml:space="preserve"> PAGEREF _Toc13157224 \h </w:instrText>
            </w:r>
            <w:r w:rsidR="004C42C8">
              <w:rPr>
                <w:noProof/>
                <w:webHidden/>
              </w:rPr>
            </w:r>
            <w:r w:rsidR="004C42C8">
              <w:rPr>
                <w:noProof/>
                <w:webHidden/>
              </w:rPr>
              <w:fldChar w:fldCharType="separate"/>
            </w:r>
            <w:r w:rsidR="004C42C8">
              <w:rPr>
                <w:noProof/>
                <w:webHidden/>
              </w:rPr>
              <w:t>25</w:t>
            </w:r>
            <w:r w:rsidR="004C42C8">
              <w:rPr>
                <w:noProof/>
                <w:webHidden/>
              </w:rPr>
              <w:fldChar w:fldCharType="end"/>
            </w:r>
          </w:hyperlink>
        </w:p>
        <w:p w14:paraId="243E9FA9" w14:textId="3D92EE2F" w:rsidR="004C42C8" w:rsidRDefault="00593D89">
          <w:pPr>
            <w:pStyle w:val="TOC3"/>
            <w:rPr>
              <w:rFonts w:eastAsiaTheme="minorEastAsia"/>
              <w:noProof/>
              <w:lang w:eastAsia="en-GB"/>
            </w:rPr>
          </w:pPr>
          <w:hyperlink w:anchor="_Toc13157225" w:history="1">
            <w:r w:rsidR="004C42C8" w:rsidRPr="009B385C">
              <w:rPr>
                <w:rStyle w:val="Hyperlink"/>
                <w:noProof/>
              </w:rPr>
              <w:t>5.2.3</w:t>
            </w:r>
            <w:r w:rsidR="004C42C8">
              <w:rPr>
                <w:rFonts w:eastAsiaTheme="minorEastAsia"/>
                <w:noProof/>
                <w:lang w:eastAsia="en-GB"/>
              </w:rPr>
              <w:tab/>
            </w:r>
            <w:r w:rsidR="004C42C8" w:rsidRPr="009B385C">
              <w:rPr>
                <w:rStyle w:val="Hyperlink"/>
                <w:noProof/>
              </w:rPr>
              <w:t>Q2.1(e) – AUTOMATED USER SUBMISSION PROCESS</w:t>
            </w:r>
            <w:r w:rsidR="004C42C8">
              <w:rPr>
                <w:noProof/>
                <w:webHidden/>
              </w:rPr>
              <w:tab/>
            </w:r>
            <w:r w:rsidR="004C42C8">
              <w:rPr>
                <w:noProof/>
                <w:webHidden/>
              </w:rPr>
              <w:fldChar w:fldCharType="begin"/>
            </w:r>
            <w:r w:rsidR="004C42C8">
              <w:rPr>
                <w:noProof/>
                <w:webHidden/>
              </w:rPr>
              <w:instrText xml:space="preserve"> PAGEREF _Toc13157225 \h </w:instrText>
            </w:r>
            <w:r w:rsidR="004C42C8">
              <w:rPr>
                <w:noProof/>
                <w:webHidden/>
              </w:rPr>
            </w:r>
            <w:r w:rsidR="004C42C8">
              <w:rPr>
                <w:noProof/>
                <w:webHidden/>
              </w:rPr>
              <w:fldChar w:fldCharType="separate"/>
            </w:r>
            <w:r w:rsidR="004C42C8">
              <w:rPr>
                <w:noProof/>
                <w:webHidden/>
              </w:rPr>
              <w:t>26</w:t>
            </w:r>
            <w:r w:rsidR="004C42C8">
              <w:rPr>
                <w:noProof/>
                <w:webHidden/>
              </w:rPr>
              <w:fldChar w:fldCharType="end"/>
            </w:r>
          </w:hyperlink>
        </w:p>
        <w:p w14:paraId="117FE7B2" w14:textId="0F1D53C3" w:rsidR="004C42C8" w:rsidRDefault="00593D89">
          <w:pPr>
            <w:pStyle w:val="TOC3"/>
            <w:rPr>
              <w:rFonts w:eastAsiaTheme="minorEastAsia"/>
              <w:noProof/>
              <w:lang w:eastAsia="en-GB"/>
            </w:rPr>
          </w:pPr>
          <w:hyperlink w:anchor="_Toc13157226" w:history="1">
            <w:r w:rsidR="004C42C8" w:rsidRPr="009B385C">
              <w:rPr>
                <w:rStyle w:val="Hyperlink"/>
                <w:noProof/>
              </w:rPr>
              <w:t>5.2.4</w:t>
            </w:r>
            <w:r w:rsidR="004C42C8">
              <w:rPr>
                <w:rFonts w:eastAsiaTheme="minorEastAsia"/>
                <w:noProof/>
                <w:lang w:eastAsia="en-GB"/>
              </w:rPr>
              <w:tab/>
            </w:r>
            <w:r w:rsidR="004C42C8" w:rsidRPr="009B385C">
              <w:rPr>
                <w:rStyle w:val="Hyperlink"/>
                <w:noProof/>
              </w:rPr>
              <w:t>Q2.1(f) – MACHINE-READABLE FORMAT FOR PROPRIETARY INDICES</w:t>
            </w:r>
            <w:r w:rsidR="004C42C8">
              <w:rPr>
                <w:noProof/>
                <w:webHidden/>
              </w:rPr>
              <w:tab/>
            </w:r>
            <w:r w:rsidR="004C42C8">
              <w:rPr>
                <w:noProof/>
                <w:webHidden/>
              </w:rPr>
              <w:fldChar w:fldCharType="begin"/>
            </w:r>
            <w:r w:rsidR="004C42C8">
              <w:rPr>
                <w:noProof/>
                <w:webHidden/>
              </w:rPr>
              <w:instrText xml:space="preserve"> PAGEREF _Toc13157226 \h </w:instrText>
            </w:r>
            <w:r w:rsidR="004C42C8">
              <w:rPr>
                <w:noProof/>
                <w:webHidden/>
              </w:rPr>
            </w:r>
            <w:r w:rsidR="004C42C8">
              <w:rPr>
                <w:noProof/>
                <w:webHidden/>
              </w:rPr>
              <w:fldChar w:fldCharType="separate"/>
            </w:r>
            <w:r w:rsidR="004C42C8">
              <w:rPr>
                <w:noProof/>
                <w:webHidden/>
              </w:rPr>
              <w:t>27</w:t>
            </w:r>
            <w:r w:rsidR="004C42C8">
              <w:rPr>
                <w:noProof/>
                <w:webHidden/>
              </w:rPr>
              <w:fldChar w:fldCharType="end"/>
            </w:r>
          </w:hyperlink>
        </w:p>
        <w:p w14:paraId="72E84E36" w14:textId="008DA61A" w:rsidR="004C42C8" w:rsidRDefault="00593D89">
          <w:pPr>
            <w:pStyle w:val="TOC3"/>
            <w:rPr>
              <w:rFonts w:eastAsiaTheme="minorEastAsia"/>
              <w:noProof/>
              <w:lang w:eastAsia="en-GB"/>
            </w:rPr>
          </w:pPr>
          <w:hyperlink w:anchor="_Toc13157227" w:history="1">
            <w:r w:rsidR="004C42C8" w:rsidRPr="009B385C">
              <w:rPr>
                <w:rStyle w:val="Hyperlink"/>
                <w:noProof/>
              </w:rPr>
              <w:t>5.2.5</w:t>
            </w:r>
            <w:r w:rsidR="004C42C8">
              <w:rPr>
                <w:rFonts w:eastAsiaTheme="minorEastAsia"/>
                <w:noProof/>
                <w:lang w:eastAsia="en-GB"/>
              </w:rPr>
              <w:tab/>
            </w:r>
            <w:r w:rsidR="004C42C8" w:rsidRPr="009B385C">
              <w:rPr>
                <w:rStyle w:val="Hyperlink"/>
                <w:noProof/>
              </w:rPr>
              <w:t>Q2.2(b) – LEI for CDS SINGLE NAME</w:t>
            </w:r>
            <w:r w:rsidR="004C42C8">
              <w:rPr>
                <w:noProof/>
                <w:webHidden/>
              </w:rPr>
              <w:tab/>
            </w:r>
            <w:r w:rsidR="004C42C8">
              <w:rPr>
                <w:noProof/>
                <w:webHidden/>
              </w:rPr>
              <w:fldChar w:fldCharType="begin"/>
            </w:r>
            <w:r w:rsidR="004C42C8">
              <w:rPr>
                <w:noProof/>
                <w:webHidden/>
              </w:rPr>
              <w:instrText xml:space="preserve"> PAGEREF _Toc13157227 \h </w:instrText>
            </w:r>
            <w:r w:rsidR="004C42C8">
              <w:rPr>
                <w:noProof/>
                <w:webHidden/>
              </w:rPr>
            </w:r>
            <w:r w:rsidR="004C42C8">
              <w:rPr>
                <w:noProof/>
                <w:webHidden/>
              </w:rPr>
              <w:fldChar w:fldCharType="separate"/>
            </w:r>
            <w:r w:rsidR="004C42C8">
              <w:rPr>
                <w:noProof/>
                <w:webHidden/>
              </w:rPr>
              <w:t>28</w:t>
            </w:r>
            <w:r w:rsidR="004C42C8">
              <w:rPr>
                <w:noProof/>
                <w:webHidden/>
              </w:rPr>
              <w:fldChar w:fldCharType="end"/>
            </w:r>
          </w:hyperlink>
        </w:p>
        <w:p w14:paraId="550D5072" w14:textId="2C115BAE" w:rsidR="004C42C8" w:rsidRDefault="00593D89">
          <w:pPr>
            <w:pStyle w:val="TOC3"/>
            <w:rPr>
              <w:rFonts w:eastAsiaTheme="minorEastAsia"/>
              <w:noProof/>
              <w:lang w:eastAsia="en-GB"/>
            </w:rPr>
          </w:pPr>
          <w:hyperlink w:anchor="_Toc13157228" w:history="1">
            <w:r w:rsidR="004C42C8" w:rsidRPr="009B385C">
              <w:rPr>
                <w:rStyle w:val="Hyperlink"/>
                <w:noProof/>
              </w:rPr>
              <w:t>5.2.6</w:t>
            </w:r>
            <w:r w:rsidR="004C42C8">
              <w:rPr>
                <w:rFonts w:eastAsiaTheme="minorEastAsia"/>
                <w:noProof/>
                <w:lang w:eastAsia="en-GB"/>
              </w:rPr>
              <w:tab/>
            </w:r>
            <w:r w:rsidR="004C42C8" w:rsidRPr="009B385C">
              <w:rPr>
                <w:rStyle w:val="Hyperlink"/>
                <w:noProof/>
              </w:rPr>
              <w:t>Q2.2(c) – VALIDATION OF CDS SINGLE NAME</w:t>
            </w:r>
            <w:r w:rsidR="004C42C8">
              <w:rPr>
                <w:noProof/>
                <w:webHidden/>
              </w:rPr>
              <w:tab/>
            </w:r>
            <w:r w:rsidR="004C42C8">
              <w:rPr>
                <w:noProof/>
                <w:webHidden/>
              </w:rPr>
              <w:fldChar w:fldCharType="begin"/>
            </w:r>
            <w:r w:rsidR="004C42C8">
              <w:rPr>
                <w:noProof/>
                <w:webHidden/>
              </w:rPr>
              <w:instrText xml:space="preserve"> PAGEREF _Toc13157228 \h </w:instrText>
            </w:r>
            <w:r w:rsidR="004C42C8">
              <w:rPr>
                <w:noProof/>
                <w:webHidden/>
              </w:rPr>
            </w:r>
            <w:r w:rsidR="004C42C8">
              <w:rPr>
                <w:noProof/>
                <w:webHidden/>
              </w:rPr>
              <w:fldChar w:fldCharType="separate"/>
            </w:r>
            <w:r w:rsidR="004C42C8">
              <w:rPr>
                <w:noProof/>
                <w:webHidden/>
              </w:rPr>
              <w:t>30</w:t>
            </w:r>
            <w:r w:rsidR="004C42C8">
              <w:rPr>
                <w:noProof/>
                <w:webHidden/>
              </w:rPr>
              <w:fldChar w:fldCharType="end"/>
            </w:r>
          </w:hyperlink>
        </w:p>
        <w:p w14:paraId="7AD415BA" w14:textId="6203FE4F" w:rsidR="004C42C8" w:rsidRDefault="00593D89">
          <w:pPr>
            <w:pStyle w:val="TOC3"/>
            <w:rPr>
              <w:rFonts w:eastAsiaTheme="minorEastAsia"/>
              <w:noProof/>
              <w:lang w:eastAsia="en-GB"/>
            </w:rPr>
          </w:pPr>
          <w:hyperlink w:anchor="_Toc13157229" w:history="1">
            <w:r w:rsidR="004C42C8" w:rsidRPr="009B385C">
              <w:rPr>
                <w:rStyle w:val="Hyperlink"/>
                <w:noProof/>
              </w:rPr>
              <w:t>5.2.7</w:t>
            </w:r>
            <w:r w:rsidR="004C42C8">
              <w:rPr>
                <w:rFonts w:eastAsiaTheme="minorEastAsia"/>
                <w:noProof/>
                <w:lang w:eastAsia="en-GB"/>
              </w:rPr>
              <w:tab/>
            </w:r>
            <w:r w:rsidR="004C42C8" w:rsidRPr="009B385C">
              <w:rPr>
                <w:rStyle w:val="Hyperlink"/>
                <w:noProof/>
              </w:rPr>
              <w:t>Q2.2(d) &amp; (e) – SUPPLEMENTAL DATA FOR ISIN-LEI MAPPING</w:t>
            </w:r>
            <w:r w:rsidR="004C42C8">
              <w:rPr>
                <w:noProof/>
                <w:webHidden/>
              </w:rPr>
              <w:tab/>
            </w:r>
            <w:r w:rsidR="004C42C8">
              <w:rPr>
                <w:noProof/>
                <w:webHidden/>
              </w:rPr>
              <w:fldChar w:fldCharType="begin"/>
            </w:r>
            <w:r w:rsidR="004C42C8">
              <w:rPr>
                <w:noProof/>
                <w:webHidden/>
              </w:rPr>
              <w:instrText xml:space="preserve"> PAGEREF _Toc13157229 \h </w:instrText>
            </w:r>
            <w:r w:rsidR="004C42C8">
              <w:rPr>
                <w:noProof/>
                <w:webHidden/>
              </w:rPr>
            </w:r>
            <w:r w:rsidR="004C42C8">
              <w:rPr>
                <w:noProof/>
                <w:webHidden/>
              </w:rPr>
              <w:fldChar w:fldCharType="separate"/>
            </w:r>
            <w:r w:rsidR="004C42C8">
              <w:rPr>
                <w:noProof/>
                <w:webHidden/>
              </w:rPr>
              <w:t>31</w:t>
            </w:r>
            <w:r w:rsidR="004C42C8">
              <w:rPr>
                <w:noProof/>
                <w:webHidden/>
              </w:rPr>
              <w:fldChar w:fldCharType="end"/>
            </w:r>
          </w:hyperlink>
        </w:p>
        <w:p w14:paraId="35528B7D" w14:textId="4E1FC21F" w:rsidR="004C42C8" w:rsidRDefault="00593D89">
          <w:pPr>
            <w:pStyle w:val="TOC3"/>
            <w:rPr>
              <w:rFonts w:eastAsiaTheme="minorEastAsia"/>
              <w:noProof/>
              <w:lang w:eastAsia="en-GB"/>
            </w:rPr>
          </w:pPr>
          <w:hyperlink w:anchor="_Toc13157230" w:history="1">
            <w:r w:rsidR="004C42C8" w:rsidRPr="009B385C">
              <w:rPr>
                <w:rStyle w:val="Hyperlink"/>
                <w:noProof/>
              </w:rPr>
              <w:t>5.2.8</w:t>
            </w:r>
            <w:r w:rsidR="004C42C8">
              <w:rPr>
                <w:rFonts w:eastAsiaTheme="minorEastAsia"/>
                <w:noProof/>
                <w:lang w:eastAsia="en-GB"/>
              </w:rPr>
              <w:tab/>
            </w:r>
            <w:r w:rsidR="004C42C8" w:rsidRPr="009B385C">
              <w:rPr>
                <w:rStyle w:val="Hyperlink"/>
                <w:noProof/>
              </w:rPr>
              <w:t>Q2.3 – MAPPING OF INDEX NAMES TO UNDERLYING IDENTIFIERS</w:t>
            </w:r>
            <w:r w:rsidR="004C42C8">
              <w:rPr>
                <w:noProof/>
                <w:webHidden/>
              </w:rPr>
              <w:tab/>
            </w:r>
            <w:r w:rsidR="004C42C8">
              <w:rPr>
                <w:noProof/>
                <w:webHidden/>
              </w:rPr>
              <w:fldChar w:fldCharType="begin"/>
            </w:r>
            <w:r w:rsidR="004C42C8">
              <w:rPr>
                <w:noProof/>
                <w:webHidden/>
              </w:rPr>
              <w:instrText xml:space="preserve"> PAGEREF _Toc13157230 \h </w:instrText>
            </w:r>
            <w:r w:rsidR="004C42C8">
              <w:rPr>
                <w:noProof/>
                <w:webHidden/>
              </w:rPr>
            </w:r>
            <w:r w:rsidR="004C42C8">
              <w:rPr>
                <w:noProof/>
                <w:webHidden/>
              </w:rPr>
              <w:fldChar w:fldCharType="separate"/>
            </w:r>
            <w:r w:rsidR="004C42C8">
              <w:rPr>
                <w:noProof/>
                <w:webHidden/>
              </w:rPr>
              <w:t>33</w:t>
            </w:r>
            <w:r w:rsidR="004C42C8">
              <w:rPr>
                <w:noProof/>
                <w:webHidden/>
              </w:rPr>
              <w:fldChar w:fldCharType="end"/>
            </w:r>
          </w:hyperlink>
        </w:p>
        <w:p w14:paraId="3ABE0B42" w14:textId="31819914" w:rsidR="004C42C8" w:rsidRDefault="00593D89">
          <w:pPr>
            <w:pStyle w:val="TOC3"/>
            <w:rPr>
              <w:rFonts w:eastAsiaTheme="minorEastAsia"/>
              <w:noProof/>
              <w:lang w:eastAsia="en-GB"/>
            </w:rPr>
          </w:pPr>
          <w:hyperlink w:anchor="_Toc13157231" w:history="1">
            <w:r w:rsidR="004C42C8" w:rsidRPr="009B385C">
              <w:rPr>
                <w:rStyle w:val="Hyperlink"/>
                <w:noProof/>
              </w:rPr>
              <w:t>5.2.9</w:t>
            </w:r>
            <w:r w:rsidR="004C42C8">
              <w:rPr>
                <w:rFonts w:eastAsiaTheme="minorEastAsia"/>
                <w:noProof/>
                <w:lang w:eastAsia="en-GB"/>
              </w:rPr>
              <w:tab/>
            </w:r>
            <w:r w:rsidR="004C42C8" w:rsidRPr="009B385C">
              <w:rPr>
                <w:rStyle w:val="Hyperlink"/>
                <w:noProof/>
              </w:rPr>
              <w:t>Q2.4 – DATA REVIEW PROCESS</w:t>
            </w:r>
            <w:r w:rsidR="004C42C8">
              <w:rPr>
                <w:noProof/>
                <w:webHidden/>
              </w:rPr>
              <w:tab/>
            </w:r>
            <w:r w:rsidR="004C42C8">
              <w:rPr>
                <w:noProof/>
                <w:webHidden/>
              </w:rPr>
              <w:fldChar w:fldCharType="begin"/>
            </w:r>
            <w:r w:rsidR="004C42C8">
              <w:rPr>
                <w:noProof/>
                <w:webHidden/>
              </w:rPr>
              <w:instrText xml:space="preserve"> PAGEREF _Toc13157231 \h </w:instrText>
            </w:r>
            <w:r w:rsidR="004C42C8">
              <w:rPr>
                <w:noProof/>
                <w:webHidden/>
              </w:rPr>
            </w:r>
            <w:r w:rsidR="004C42C8">
              <w:rPr>
                <w:noProof/>
                <w:webHidden/>
              </w:rPr>
              <w:fldChar w:fldCharType="separate"/>
            </w:r>
            <w:r w:rsidR="004C42C8">
              <w:rPr>
                <w:noProof/>
                <w:webHidden/>
              </w:rPr>
              <w:t>35</w:t>
            </w:r>
            <w:r w:rsidR="004C42C8">
              <w:rPr>
                <w:noProof/>
                <w:webHidden/>
              </w:rPr>
              <w:fldChar w:fldCharType="end"/>
            </w:r>
          </w:hyperlink>
        </w:p>
        <w:p w14:paraId="27C2BC71" w14:textId="4DC25FCC" w:rsidR="004C42C8" w:rsidRDefault="00593D89">
          <w:pPr>
            <w:pStyle w:val="TOC2"/>
            <w:rPr>
              <w:rFonts w:eastAsiaTheme="minorEastAsia"/>
              <w:noProof/>
              <w:lang w:eastAsia="en-GB"/>
            </w:rPr>
          </w:pPr>
          <w:hyperlink w:anchor="_Toc13157232" w:history="1">
            <w:r w:rsidR="004C42C8" w:rsidRPr="009B385C">
              <w:rPr>
                <w:rStyle w:val="Hyperlink"/>
                <w:noProof/>
              </w:rPr>
              <w:t>5.3</w:t>
            </w:r>
            <w:r w:rsidR="004C42C8">
              <w:rPr>
                <w:rFonts w:eastAsiaTheme="minorEastAsia"/>
                <w:noProof/>
                <w:lang w:eastAsia="en-GB"/>
              </w:rPr>
              <w:tab/>
            </w:r>
            <w:r w:rsidR="004C42C8" w:rsidRPr="009B385C">
              <w:rPr>
                <w:rStyle w:val="Hyperlink"/>
                <w:noProof/>
              </w:rPr>
              <w:t>SERVICE LEVELS</w:t>
            </w:r>
            <w:r w:rsidR="004C42C8">
              <w:rPr>
                <w:noProof/>
                <w:webHidden/>
              </w:rPr>
              <w:tab/>
            </w:r>
            <w:r w:rsidR="004C42C8">
              <w:rPr>
                <w:noProof/>
                <w:webHidden/>
              </w:rPr>
              <w:fldChar w:fldCharType="begin"/>
            </w:r>
            <w:r w:rsidR="004C42C8">
              <w:rPr>
                <w:noProof/>
                <w:webHidden/>
              </w:rPr>
              <w:instrText xml:space="preserve"> PAGEREF _Toc13157232 \h </w:instrText>
            </w:r>
            <w:r w:rsidR="004C42C8">
              <w:rPr>
                <w:noProof/>
                <w:webHidden/>
              </w:rPr>
            </w:r>
            <w:r w:rsidR="004C42C8">
              <w:rPr>
                <w:noProof/>
                <w:webHidden/>
              </w:rPr>
              <w:fldChar w:fldCharType="separate"/>
            </w:r>
            <w:r w:rsidR="004C42C8">
              <w:rPr>
                <w:noProof/>
                <w:webHidden/>
              </w:rPr>
              <w:t>36</w:t>
            </w:r>
            <w:r w:rsidR="004C42C8">
              <w:rPr>
                <w:noProof/>
                <w:webHidden/>
              </w:rPr>
              <w:fldChar w:fldCharType="end"/>
            </w:r>
          </w:hyperlink>
        </w:p>
        <w:p w14:paraId="74C4103E" w14:textId="400D9726" w:rsidR="004C42C8" w:rsidRDefault="00593D89">
          <w:pPr>
            <w:pStyle w:val="TOC3"/>
            <w:rPr>
              <w:rFonts w:eastAsiaTheme="minorEastAsia"/>
              <w:noProof/>
              <w:lang w:eastAsia="en-GB"/>
            </w:rPr>
          </w:pPr>
          <w:hyperlink w:anchor="_Toc13157233" w:history="1">
            <w:r w:rsidR="004C42C8" w:rsidRPr="009B385C">
              <w:rPr>
                <w:rStyle w:val="Hyperlink"/>
                <w:noProof/>
              </w:rPr>
              <w:t>5.3.1</w:t>
            </w:r>
            <w:r w:rsidR="004C42C8">
              <w:rPr>
                <w:rFonts w:eastAsiaTheme="minorEastAsia"/>
                <w:noProof/>
                <w:lang w:eastAsia="en-GB"/>
              </w:rPr>
              <w:tab/>
            </w:r>
            <w:r w:rsidR="004C42C8" w:rsidRPr="009B385C">
              <w:rPr>
                <w:rStyle w:val="Hyperlink"/>
                <w:noProof/>
              </w:rPr>
              <w:t>Q3.1 – BULK ISIN CREATION</w:t>
            </w:r>
            <w:r w:rsidR="004C42C8">
              <w:rPr>
                <w:noProof/>
                <w:webHidden/>
              </w:rPr>
              <w:tab/>
            </w:r>
            <w:r w:rsidR="004C42C8">
              <w:rPr>
                <w:noProof/>
                <w:webHidden/>
              </w:rPr>
              <w:fldChar w:fldCharType="begin"/>
            </w:r>
            <w:r w:rsidR="004C42C8">
              <w:rPr>
                <w:noProof/>
                <w:webHidden/>
              </w:rPr>
              <w:instrText xml:space="preserve"> PAGEREF _Toc13157233 \h </w:instrText>
            </w:r>
            <w:r w:rsidR="004C42C8">
              <w:rPr>
                <w:noProof/>
                <w:webHidden/>
              </w:rPr>
            </w:r>
            <w:r w:rsidR="004C42C8">
              <w:rPr>
                <w:noProof/>
                <w:webHidden/>
              </w:rPr>
              <w:fldChar w:fldCharType="separate"/>
            </w:r>
            <w:r w:rsidR="004C42C8">
              <w:rPr>
                <w:noProof/>
                <w:webHidden/>
              </w:rPr>
              <w:t>36</w:t>
            </w:r>
            <w:r w:rsidR="004C42C8">
              <w:rPr>
                <w:noProof/>
                <w:webHidden/>
              </w:rPr>
              <w:fldChar w:fldCharType="end"/>
            </w:r>
          </w:hyperlink>
        </w:p>
        <w:p w14:paraId="20B00885" w14:textId="2988389E" w:rsidR="004C42C8" w:rsidRDefault="00593D89">
          <w:pPr>
            <w:pStyle w:val="TOC3"/>
            <w:rPr>
              <w:rFonts w:eastAsiaTheme="minorEastAsia"/>
              <w:noProof/>
              <w:lang w:eastAsia="en-GB"/>
            </w:rPr>
          </w:pPr>
          <w:hyperlink w:anchor="_Toc13157234" w:history="1">
            <w:r w:rsidR="004C42C8" w:rsidRPr="009B385C">
              <w:rPr>
                <w:rStyle w:val="Hyperlink"/>
                <w:noProof/>
              </w:rPr>
              <w:t>5.3.2</w:t>
            </w:r>
            <w:r w:rsidR="004C42C8">
              <w:rPr>
                <w:rFonts w:eastAsiaTheme="minorEastAsia"/>
                <w:noProof/>
                <w:lang w:eastAsia="en-GB"/>
              </w:rPr>
              <w:tab/>
            </w:r>
            <w:r w:rsidR="004C42C8" w:rsidRPr="009B385C">
              <w:rPr>
                <w:rStyle w:val="Hyperlink"/>
                <w:noProof/>
              </w:rPr>
              <w:t>Q3.2 – SEARCHABLE ON-LINE UTILITY</w:t>
            </w:r>
            <w:r w:rsidR="004C42C8">
              <w:rPr>
                <w:noProof/>
                <w:webHidden/>
              </w:rPr>
              <w:tab/>
            </w:r>
            <w:r w:rsidR="004C42C8">
              <w:rPr>
                <w:noProof/>
                <w:webHidden/>
              </w:rPr>
              <w:fldChar w:fldCharType="begin"/>
            </w:r>
            <w:r w:rsidR="004C42C8">
              <w:rPr>
                <w:noProof/>
                <w:webHidden/>
              </w:rPr>
              <w:instrText xml:space="preserve"> PAGEREF _Toc13157234 \h </w:instrText>
            </w:r>
            <w:r w:rsidR="004C42C8">
              <w:rPr>
                <w:noProof/>
                <w:webHidden/>
              </w:rPr>
            </w:r>
            <w:r w:rsidR="004C42C8">
              <w:rPr>
                <w:noProof/>
                <w:webHidden/>
              </w:rPr>
              <w:fldChar w:fldCharType="separate"/>
            </w:r>
            <w:r w:rsidR="004C42C8">
              <w:rPr>
                <w:noProof/>
                <w:webHidden/>
              </w:rPr>
              <w:t>37</w:t>
            </w:r>
            <w:r w:rsidR="004C42C8">
              <w:rPr>
                <w:noProof/>
                <w:webHidden/>
              </w:rPr>
              <w:fldChar w:fldCharType="end"/>
            </w:r>
          </w:hyperlink>
        </w:p>
        <w:p w14:paraId="1C43A2AC" w14:textId="68AF87EE" w:rsidR="004C42C8" w:rsidRDefault="00593D89">
          <w:pPr>
            <w:pStyle w:val="TOC3"/>
            <w:rPr>
              <w:rFonts w:eastAsiaTheme="minorEastAsia"/>
              <w:noProof/>
              <w:lang w:eastAsia="en-GB"/>
            </w:rPr>
          </w:pPr>
          <w:hyperlink w:anchor="_Toc13157235" w:history="1">
            <w:r w:rsidR="004C42C8" w:rsidRPr="009B385C">
              <w:rPr>
                <w:rStyle w:val="Hyperlink"/>
                <w:noProof/>
              </w:rPr>
              <w:t>5.3.3</w:t>
            </w:r>
            <w:r w:rsidR="004C42C8">
              <w:rPr>
                <w:rFonts w:eastAsiaTheme="minorEastAsia"/>
                <w:noProof/>
                <w:lang w:eastAsia="en-GB"/>
              </w:rPr>
              <w:tab/>
            </w:r>
            <w:r w:rsidR="004C42C8" w:rsidRPr="009B385C">
              <w:rPr>
                <w:rStyle w:val="Hyperlink"/>
                <w:noProof/>
              </w:rPr>
              <w:t>Q3.3 – PHONE BASED SUPPORT</w:t>
            </w:r>
            <w:r w:rsidR="004C42C8">
              <w:rPr>
                <w:noProof/>
                <w:webHidden/>
              </w:rPr>
              <w:tab/>
            </w:r>
            <w:r w:rsidR="004C42C8">
              <w:rPr>
                <w:noProof/>
                <w:webHidden/>
              </w:rPr>
              <w:fldChar w:fldCharType="begin"/>
            </w:r>
            <w:r w:rsidR="004C42C8">
              <w:rPr>
                <w:noProof/>
                <w:webHidden/>
              </w:rPr>
              <w:instrText xml:space="preserve"> PAGEREF _Toc13157235 \h </w:instrText>
            </w:r>
            <w:r w:rsidR="004C42C8">
              <w:rPr>
                <w:noProof/>
                <w:webHidden/>
              </w:rPr>
            </w:r>
            <w:r w:rsidR="004C42C8">
              <w:rPr>
                <w:noProof/>
                <w:webHidden/>
              </w:rPr>
              <w:fldChar w:fldCharType="separate"/>
            </w:r>
            <w:r w:rsidR="004C42C8">
              <w:rPr>
                <w:noProof/>
                <w:webHidden/>
              </w:rPr>
              <w:t>38</w:t>
            </w:r>
            <w:r w:rsidR="004C42C8">
              <w:rPr>
                <w:noProof/>
                <w:webHidden/>
              </w:rPr>
              <w:fldChar w:fldCharType="end"/>
            </w:r>
          </w:hyperlink>
        </w:p>
        <w:p w14:paraId="69C4577B" w14:textId="71D50B3B" w:rsidR="004C42C8" w:rsidRDefault="00593D89">
          <w:pPr>
            <w:pStyle w:val="TOC3"/>
            <w:rPr>
              <w:rFonts w:eastAsiaTheme="minorEastAsia"/>
              <w:noProof/>
              <w:lang w:eastAsia="en-GB"/>
            </w:rPr>
          </w:pPr>
          <w:hyperlink w:anchor="_Toc13157236" w:history="1">
            <w:r w:rsidR="004C42C8" w:rsidRPr="009B385C">
              <w:rPr>
                <w:rStyle w:val="Hyperlink"/>
                <w:noProof/>
              </w:rPr>
              <w:t>5.3.4</w:t>
            </w:r>
            <w:r w:rsidR="004C42C8">
              <w:rPr>
                <w:rFonts w:eastAsiaTheme="minorEastAsia"/>
                <w:noProof/>
                <w:lang w:eastAsia="en-GB"/>
              </w:rPr>
              <w:tab/>
            </w:r>
            <w:r w:rsidR="004C42C8" w:rsidRPr="009B385C">
              <w:rPr>
                <w:rStyle w:val="Hyperlink"/>
                <w:noProof/>
              </w:rPr>
              <w:t>Q3.4 – PROACTIVE AUP MONITORING</w:t>
            </w:r>
            <w:r w:rsidR="004C42C8">
              <w:rPr>
                <w:noProof/>
                <w:webHidden/>
              </w:rPr>
              <w:tab/>
            </w:r>
            <w:r w:rsidR="004C42C8">
              <w:rPr>
                <w:noProof/>
                <w:webHidden/>
              </w:rPr>
              <w:fldChar w:fldCharType="begin"/>
            </w:r>
            <w:r w:rsidR="004C42C8">
              <w:rPr>
                <w:noProof/>
                <w:webHidden/>
              </w:rPr>
              <w:instrText xml:space="preserve"> PAGEREF _Toc13157236 \h </w:instrText>
            </w:r>
            <w:r w:rsidR="004C42C8">
              <w:rPr>
                <w:noProof/>
                <w:webHidden/>
              </w:rPr>
            </w:r>
            <w:r w:rsidR="004C42C8">
              <w:rPr>
                <w:noProof/>
                <w:webHidden/>
              </w:rPr>
              <w:fldChar w:fldCharType="separate"/>
            </w:r>
            <w:r w:rsidR="004C42C8">
              <w:rPr>
                <w:noProof/>
                <w:webHidden/>
              </w:rPr>
              <w:t>39</w:t>
            </w:r>
            <w:r w:rsidR="004C42C8">
              <w:rPr>
                <w:noProof/>
                <w:webHidden/>
              </w:rPr>
              <w:fldChar w:fldCharType="end"/>
            </w:r>
          </w:hyperlink>
        </w:p>
        <w:p w14:paraId="2C5CEFF6" w14:textId="5CA103CE" w:rsidR="004C42C8" w:rsidRDefault="00593D89">
          <w:pPr>
            <w:pStyle w:val="TOC2"/>
            <w:rPr>
              <w:rFonts w:eastAsiaTheme="minorEastAsia"/>
              <w:noProof/>
              <w:lang w:eastAsia="en-GB"/>
            </w:rPr>
          </w:pPr>
          <w:hyperlink w:anchor="_Toc13157237" w:history="1">
            <w:r w:rsidR="004C42C8" w:rsidRPr="009B385C">
              <w:rPr>
                <w:rStyle w:val="Hyperlink"/>
                <w:noProof/>
              </w:rPr>
              <w:t>5.4</w:t>
            </w:r>
            <w:r w:rsidR="004C42C8">
              <w:rPr>
                <w:rFonts w:eastAsiaTheme="minorEastAsia"/>
                <w:noProof/>
                <w:lang w:eastAsia="en-GB"/>
              </w:rPr>
              <w:tab/>
            </w:r>
            <w:r w:rsidR="004C42C8" w:rsidRPr="009B385C">
              <w:rPr>
                <w:rStyle w:val="Hyperlink"/>
                <w:noProof/>
              </w:rPr>
              <w:t>SERVICE AVAILABILITY</w:t>
            </w:r>
            <w:r w:rsidR="004C42C8">
              <w:rPr>
                <w:noProof/>
                <w:webHidden/>
              </w:rPr>
              <w:tab/>
            </w:r>
            <w:r w:rsidR="004C42C8">
              <w:rPr>
                <w:noProof/>
                <w:webHidden/>
              </w:rPr>
              <w:fldChar w:fldCharType="begin"/>
            </w:r>
            <w:r w:rsidR="004C42C8">
              <w:rPr>
                <w:noProof/>
                <w:webHidden/>
              </w:rPr>
              <w:instrText xml:space="preserve"> PAGEREF _Toc13157237 \h </w:instrText>
            </w:r>
            <w:r w:rsidR="004C42C8">
              <w:rPr>
                <w:noProof/>
                <w:webHidden/>
              </w:rPr>
            </w:r>
            <w:r w:rsidR="004C42C8">
              <w:rPr>
                <w:noProof/>
                <w:webHidden/>
              </w:rPr>
              <w:fldChar w:fldCharType="separate"/>
            </w:r>
            <w:r w:rsidR="004C42C8">
              <w:rPr>
                <w:noProof/>
                <w:webHidden/>
              </w:rPr>
              <w:t>42</w:t>
            </w:r>
            <w:r w:rsidR="004C42C8">
              <w:rPr>
                <w:noProof/>
                <w:webHidden/>
              </w:rPr>
              <w:fldChar w:fldCharType="end"/>
            </w:r>
          </w:hyperlink>
        </w:p>
        <w:p w14:paraId="046E87E3" w14:textId="5A1FE79A" w:rsidR="004C42C8" w:rsidRDefault="00593D89">
          <w:pPr>
            <w:pStyle w:val="TOC3"/>
            <w:rPr>
              <w:rFonts w:eastAsiaTheme="minorEastAsia"/>
              <w:noProof/>
              <w:lang w:eastAsia="en-GB"/>
            </w:rPr>
          </w:pPr>
          <w:hyperlink w:anchor="_Toc13157238" w:history="1">
            <w:r w:rsidR="004C42C8" w:rsidRPr="009B385C">
              <w:rPr>
                <w:rStyle w:val="Hyperlink"/>
                <w:noProof/>
              </w:rPr>
              <w:t>5.4.1</w:t>
            </w:r>
            <w:r w:rsidR="004C42C8">
              <w:rPr>
                <w:rFonts w:eastAsiaTheme="minorEastAsia"/>
                <w:noProof/>
                <w:lang w:eastAsia="en-GB"/>
              </w:rPr>
              <w:tab/>
            </w:r>
            <w:r w:rsidR="004C42C8" w:rsidRPr="009B385C">
              <w:rPr>
                <w:rStyle w:val="Hyperlink"/>
                <w:noProof/>
              </w:rPr>
              <w:t>Q4.1 – DOWNTIME WINDOW</w:t>
            </w:r>
            <w:r w:rsidR="004C42C8">
              <w:rPr>
                <w:noProof/>
                <w:webHidden/>
              </w:rPr>
              <w:tab/>
            </w:r>
            <w:r w:rsidR="004C42C8">
              <w:rPr>
                <w:noProof/>
                <w:webHidden/>
              </w:rPr>
              <w:fldChar w:fldCharType="begin"/>
            </w:r>
            <w:r w:rsidR="004C42C8">
              <w:rPr>
                <w:noProof/>
                <w:webHidden/>
              </w:rPr>
              <w:instrText xml:space="preserve"> PAGEREF _Toc13157238 \h </w:instrText>
            </w:r>
            <w:r w:rsidR="004C42C8">
              <w:rPr>
                <w:noProof/>
                <w:webHidden/>
              </w:rPr>
            </w:r>
            <w:r w:rsidR="004C42C8">
              <w:rPr>
                <w:noProof/>
                <w:webHidden/>
              </w:rPr>
              <w:fldChar w:fldCharType="separate"/>
            </w:r>
            <w:r w:rsidR="004C42C8">
              <w:rPr>
                <w:noProof/>
                <w:webHidden/>
              </w:rPr>
              <w:t>42</w:t>
            </w:r>
            <w:r w:rsidR="004C42C8">
              <w:rPr>
                <w:noProof/>
                <w:webHidden/>
              </w:rPr>
              <w:fldChar w:fldCharType="end"/>
            </w:r>
          </w:hyperlink>
        </w:p>
        <w:p w14:paraId="1F5FC8F0" w14:textId="0E2616D7" w:rsidR="004C42C8" w:rsidRDefault="00593D89">
          <w:pPr>
            <w:pStyle w:val="TOC2"/>
            <w:rPr>
              <w:rFonts w:eastAsiaTheme="minorEastAsia"/>
              <w:noProof/>
              <w:lang w:eastAsia="en-GB"/>
            </w:rPr>
          </w:pPr>
          <w:hyperlink w:anchor="_Toc13157239" w:history="1">
            <w:r w:rsidR="004C42C8" w:rsidRPr="009B385C">
              <w:rPr>
                <w:rStyle w:val="Hyperlink"/>
                <w:noProof/>
              </w:rPr>
              <w:t>5.5</w:t>
            </w:r>
            <w:r w:rsidR="004C42C8">
              <w:rPr>
                <w:rFonts w:eastAsiaTheme="minorEastAsia"/>
                <w:noProof/>
                <w:lang w:eastAsia="en-GB"/>
              </w:rPr>
              <w:tab/>
            </w:r>
            <w:r w:rsidR="004C42C8" w:rsidRPr="009B385C">
              <w:rPr>
                <w:rStyle w:val="Hyperlink"/>
                <w:noProof/>
              </w:rPr>
              <w:t>CYBERSECURITY</w:t>
            </w:r>
            <w:r w:rsidR="004C42C8">
              <w:rPr>
                <w:noProof/>
                <w:webHidden/>
              </w:rPr>
              <w:tab/>
            </w:r>
            <w:r w:rsidR="004C42C8">
              <w:rPr>
                <w:noProof/>
                <w:webHidden/>
              </w:rPr>
              <w:fldChar w:fldCharType="begin"/>
            </w:r>
            <w:r w:rsidR="004C42C8">
              <w:rPr>
                <w:noProof/>
                <w:webHidden/>
              </w:rPr>
              <w:instrText xml:space="preserve"> PAGEREF _Toc13157239 \h </w:instrText>
            </w:r>
            <w:r w:rsidR="004C42C8">
              <w:rPr>
                <w:noProof/>
                <w:webHidden/>
              </w:rPr>
            </w:r>
            <w:r w:rsidR="004C42C8">
              <w:rPr>
                <w:noProof/>
                <w:webHidden/>
              </w:rPr>
              <w:fldChar w:fldCharType="separate"/>
            </w:r>
            <w:r w:rsidR="004C42C8">
              <w:rPr>
                <w:noProof/>
                <w:webHidden/>
              </w:rPr>
              <w:t>44</w:t>
            </w:r>
            <w:r w:rsidR="004C42C8">
              <w:rPr>
                <w:noProof/>
                <w:webHidden/>
              </w:rPr>
              <w:fldChar w:fldCharType="end"/>
            </w:r>
          </w:hyperlink>
        </w:p>
        <w:p w14:paraId="38AC5EE1" w14:textId="1584AFCA" w:rsidR="004C42C8" w:rsidRDefault="00593D89">
          <w:pPr>
            <w:pStyle w:val="TOC3"/>
            <w:rPr>
              <w:rFonts w:eastAsiaTheme="minorEastAsia"/>
              <w:noProof/>
              <w:lang w:eastAsia="en-GB"/>
            </w:rPr>
          </w:pPr>
          <w:hyperlink w:anchor="_Toc13157240" w:history="1">
            <w:r w:rsidR="004C42C8" w:rsidRPr="009B385C">
              <w:rPr>
                <w:rStyle w:val="Hyperlink"/>
                <w:noProof/>
              </w:rPr>
              <w:t>5.5.1</w:t>
            </w:r>
            <w:r w:rsidR="004C42C8">
              <w:rPr>
                <w:rFonts w:eastAsiaTheme="minorEastAsia"/>
                <w:noProof/>
                <w:lang w:eastAsia="en-GB"/>
              </w:rPr>
              <w:tab/>
            </w:r>
            <w:r w:rsidR="004C42C8" w:rsidRPr="009B385C">
              <w:rPr>
                <w:rStyle w:val="Hyperlink"/>
                <w:noProof/>
              </w:rPr>
              <w:t>Q5.1 – GUI MULTI-FACTOR AUTHENTICATION</w:t>
            </w:r>
            <w:r w:rsidR="004C42C8">
              <w:rPr>
                <w:noProof/>
                <w:webHidden/>
              </w:rPr>
              <w:tab/>
            </w:r>
            <w:r w:rsidR="004C42C8">
              <w:rPr>
                <w:noProof/>
                <w:webHidden/>
              </w:rPr>
              <w:fldChar w:fldCharType="begin"/>
            </w:r>
            <w:r w:rsidR="004C42C8">
              <w:rPr>
                <w:noProof/>
                <w:webHidden/>
              </w:rPr>
              <w:instrText xml:space="preserve"> PAGEREF _Toc13157240 \h </w:instrText>
            </w:r>
            <w:r w:rsidR="004C42C8">
              <w:rPr>
                <w:noProof/>
                <w:webHidden/>
              </w:rPr>
            </w:r>
            <w:r w:rsidR="004C42C8">
              <w:rPr>
                <w:noProof/>
                <w:webHidden/>
              </w:rPr>
              <w:fldChar w:fldCharType="separate"/>
            </w:r>
            <w:r w:rsidR="004C42C8">
              <w:rPr>
                <w:noProof/>
                <w:webHidden/>
              </w:rPr>
              <w:t>45</w:t>
            </w:r>
            <w:r w:rsidR="004C42C8">
              <w:rPr>
                <w:noProof/>
                <w:webHidden/>
              </w:rPr>
              <w:fldChar w:fldCharType="end"/>
            </w:r>
          </w:hyperlink>
        </w:p>
        <w:p w14:paraId="47C0A059" w14:textId="6B43B9A7" w:rsidR="004C42C8" w:rsidRDefault="00593D89">
          <w:pPr>
            <w:pStyle w:val="TOC3"/>
            <w:rPr>
              <w:rFonts w:eastAsiaTheme="minorEastAsia"/>
              <w:noProof/>
              <w:lang w:eastAsia="en-GB"/>
            </w:rPr>
          </w:pPr>
          <w:hyperlink w:anchor="_Toc13157241" w:history="1">
            <w:r w:rsidR="004C42C8" w:rsidRPr="009B385C">
              <w:rPr>
                <w:rStyle w:val="Hyperlink"/>
                <w:noProof/>
              </w:rPr>
              <w:t>5.5.2</w:t>
            </w:r>
            <w:r w:rsidR="004C42C8">
              <w:rPr>
                <w:rFonts w:eastAsiaTheme="minorEastAsia"/>
                <w:noProof/>
                <w:lang w:eastAsia="en-GB"/>
              </w:rPr>
              <w:tab/>
            </w:r>
            <w:r w:rsidR="004C42C8" w:rsidRPr="009B385C">
              <w:rPr>
                <w:rStyle w:val="Hyperlink"/>
                <w:noProof/>
              </w:rPr>
              <w:t>Q5.2 – SECURE SDLC</w:t>
            </w:r>
            <w:r w:rsidR="004C42C8">
              <w:rPr>
                <w:noProof/>
                <w:webHidden/>
              </w:rPr>
              <w:tab/>
            </w:r>
            <w:r w:rsidR="004C42C8">
              <w:rPr>
                <w:noProof/>
                <w:webHidden/>
              </w:rPr>
              <w:fldChar w:fldCharType="begin"/>
            </w:r>
            <w:r w:rsidR="004C42C8">
              <w:rPr>
                <w:noProof/>
                <w:webHidden/>
              </w:rPr>
              <w:instrText xml:space="preserve"> PAGEREF _Toc13157241 \h </w:instrText>
            </w:r>
            <w:r w:rsidR="004C42C8">
              <w:rPr>
                <w:noProof/>
                <w:webHidden/>
              </w:rPr>
            </w:r>
            <w:r w:rsidR="004C42C8">
              <w:rPr>
                <w:noProof/>
                <w:webHidden/>
              </w:rPr>
              <w:fldChar w:fldCharType="separate"/>
            </w:r>
            <w:r w:rsidR="004C42C8">
              <w:rPr>
                <w:noProof/>
                <w:webHidden/>
              </w:rPr>
              <w:t>48</w:t>
            </w:r>
            <w:r w:rsidR="004C42C8">
              <w:rPr>
                <w:noProof/>
                <w:webHidden/>
              </w:rPr>
              <w:fldChar w:fldCharType="end"/>
            </w:r>
          </w:hyperlink>
        </w:p>
        <w:p w14:paraId="43D46287" w14:textId="74E18FE7" w:rsidR="004C42C8" w:rsidRDefault="00593D89">
          <w:pPr>
            <w:pStyle w:val="TOC3"/>
            <w:rPr>
              <w:rFonts w:eastAsiaTheme="minorEastAsia"/>
              <w:noProof/>
              <w:lang w:eastAsia="en-GB"/>
            </w:rPr>
          </w:pPr>
          <w:hyperlink w:anchor="_Toc13157242" w:history="1">
            <w:r w:rsidR="004C42C8" w:rsidRPr="009B385C">
              <w:rPr>
                <w:rStyle w:val="Hyperlink"/>
                <w:noProof/>
              </w:rPr>
              <w:t>5.5.3</w:t>
            </w:r>
            <w:r w:rsidR="004C42C8">
              <w:rPr>
                <w:rFonts w:eastAsiaTheme="minorEastAsia"/>
                <w:noProof/>
                <w:lang w:eastAsia="en-GB"/>
              </w:rPr>
              <w:tab/>
            </w:r>
            <w:r w:rsidR="004C42C8" w:rsidRPr="009B385C">
              <w:rPr>
                <w:rStyle w:val="Hyperlink"/>
                <w:noProof/>
              </w:rPr>
              <w:t>Q5.3 – ISO 27001/2 FOR CYBER BREACH RISK</w:t>
            </w:r>
            <w:r w:rsidR="004C42C8">
              <w:rPr>
                <w:noProof/>
                <w:webHidden/>
              </w:rPr>
              <w:tab/>
            </w:r>
            <w:r w:rsidR="004C42C8">
              <w:rPr>
                <w:noProof/>
                <w:webHidden/>
              </w:rPr>
              <w:fldChar w:fldCharType="begin"/>
            </w:r>
            <w:r w:rsidR="004C42C8">
              <w:rPr>
                <w:noProof/>
                <w:webHidden/>
              </w:rPr>
              <w:instrText xml:space="preserve"> PAGEREF _Toc13157242 \h </w:instrText>
            </w:r>
            <w:r w:rsidR="004C42C8">
              <w:rPr>
                <w:noProof/>
                <w:webHidden/>
              </w:rPr>
            </w:r>
            <w:r w:rsidR="004C42C8">
              <w:rPr>
                <w:noProof/>
                <w:webHidden/>
              </w:rPr>
              <w:fldChar w:fldCharType="separate"/>
            </w:r>
            <w:r w:rsidR="004C42C8">
              <w:rPr>
                <w:noProof/>
                <w:webHidden/>
              </w:rPr>
              <w:t>50</w:t>
            </w:r>
            <w:r w:rsidR="004C42C8">
              <w:rPr>
                <w:noProof/>
                <w:webHidden/>
              </w:rPr>
              <w:fldChar w:fldCharType="end"/>
            </w:r>
          </w:hyperlink>
        </w:p>
        <w:p w14:paraId="45D4B9F9" w14:textId="7EEC208A" w:rsidR="004C42C8" w:rsidRDefault="00593D89">
          <w:pPr>
            <w:pStyle w:val="TOC3"/>
            <w:rPr>
              <w:rFonts w:eastAsiaTheme="minorEastAsia"/>
              <w:noProof/>
              <w:lang w:eastAsia="en-GB"/>
            </w:rPr>
          </w:pPr>
          <w:hyperlink w:anchor="_Toc13157243" w:history="1">
            <w:r w:rsidR="004C42C8" w:rsidRPr="009B385C">
              <w:rPr>
                <w:rStyle w:val="Hyperlink"/>
                <w:noProof/>
              </w:rPr>
              <w:t>5.5.4</w:t>
            </w:r>
            <w:r w:rsidR="004C42C8">
              <w:rPr>
                <w:rFonts w:eastAsiaTheme="minorEastAsia"/>
                <w:noProof/>
                <w:lang w:eastAsia="en-GB"/>
              </w:rPr>
              <w:tab/>
            </w:r>
            <w:r w:rsidR="004C42C8" w:rsidRPr="009B385C">
              <w:rPr>
                <w:rStyle w:val="Hyperlink"/>
                <w:noProof/>
              </w:rPr>
              <w:t>Q5.4 – ISO 27018 ADOPTION FOR PII BREACH RISK</w:t>
            </w:r>
            <w:r w:rsidR="004C42C8">
              <w:rPr>
                <w:noProof/>
                <w:webHidden/>
              </w:rPr>
              <w:tab/>
            </w:r>
            <w:r w:rsidR="004C42C8">
              <w:rPr>
                <w:noProof/>
                <w:webHidden/>
              </w:rPr>
              <w:fldChar w:fldCharType="begin"/>
            </w:r>
            <w:r w:rsidR="004C42C8">
              <w:rPr>
                <w:noProof/>
                <w:webHidden/>
              </w:rPr>
              <w:instrText xml:space="preserve"> PAGEREF _Toc13157243 \h </w:instrText>
            </w:r>
            <w:r w:rsidR="004C42C8">
              <w:rPr>
                <w:noProof/>
                <w:webHidden/>
              </w:rPr>
            </w:r>
            <w:r w:rsidR="004C42C8">
              <w:rPr>
                <w:noProof/>
                <w:webHidden/>
              </w:rPr>
              <w:fldChar w:fldCharType="separate"/>
            </w:r>
            <w:r w:rsidR="004C42C8">
              <w:rPr>
                <w:noProof/>
                <w:webHidden/>
              </w:rPr>
              <w:t>52</w:t>
            </w:r>
            <w:r w:rsidR="004C42C8">
              <w:rPr>
                <w:noProof/>
                <w:webHidden/>
              </w:rPr>
              <w:fldChar w:fldCharType="end"/>
            </w:r>
          </w:hyperlink>
        </w:p>
        <w:p w14:paraId="0CEF52A3" w14:textId="7ECA2C1F" w:rsidR="004C42C8" w:rsidRDefault="00593D89">
          <w:pPr>
            <w:pStyle w:val="TOC3"/>
            <w:rPr>
              <w:rFonts w:eastAsiaTheme="minorEastAsia"/>
              <w:noProof/>
              <w:lang w:eastAsia="en-GB"/>
            </w:rPr>
          </w:pPr>
          <w:hyperlink w:anchor="_Toc13157244" w:history="1">
            <w:r w:rsidR="004C42C8" w:rsidRPr="009B385C">
              <w:rPr>
                <w:rStyle w:val="Hyperlink"/>
                <w:noProof/>
              </w:rPr>
              <w:t>5.5.5</w:t>
            </w:r>
            <w:r w:rsidR="004C42C8">
              <w:rPr>
                <w:rFonts w:eastAsiaTheme="minorEastAsia"/>
                <w:noProof/>
                <w:lang w:eastAsia="en-GB"/>
              </w:rPr>
              <w:tab/>
            </w:r>
            <w:r w:rsidR="004C42C8" w:rsidRPr="009B385C">
              <w:rPr>
                <w:rStyle w:val="Hyperlink"/>
                <w:noProof/>
              </w:rPr>
              <w:t>Q5.5 – ON-BOARDING OF CISO</w:t>
            </w:r>
            <w:r w:rsidR="004C42C8">
              <w:rPr>
                <w:noProof/>
                <w:webHidden/>
              </w:rPr>
              <w:tab/>
            </w:r>
            <w:r w:rsidR="004C42C8">
              <w:rPr>
                <w:noProof/>
                <w:webHidden/>
              </w:rPr>
              <w:fldChar w:fldCharType="begin"/>
            </w:r>
            <w:r w:rsidR="004C42C8">
              <w:rPr>
                <w:noProof/>
                <w:webHidden/>
              </w:rPr>
              <w:instrText xml:space="preserve"> PAGEREF _Toc13157244 \h </w:instrText>
            </w:r>
            <w:r w:rsidR="004C42C8">
              <w:rPr>
                <w:noProof/>
                <w:webHidden/>
              </w:rPr>
            </w:r>
            <w:r w:rsidR="004C42C8">
              <w:rPr>
                <w:noProof/>
                <w:webHidden/>
              </w:rPr>
              <w:fldChar w:fldCharType="separate"/>
            </w:r>
            <w:r w:rsidR="004C42C8">
              <w:rPr>
                <w:noProof/>
                <w:webHidden/>
              </w:rPr>
              <w:t>53</w:t>
            </w:r>
            <w:r w:rsidR="004C42C8">
              <w:rPr>
                <w:noProof/>
                <w:webHidden/>
              </w:rPr>
              <w:fldChar w:fldCharType="end"/>
            </w:r>
          </w:hyperlink>
        </w:p>
        <w:p w14:paraId="5441EE23" w14:textId="51CA92DD" w:rsidR="004C42C8" w:rsidRDefault="00593D89">
          <w:pPr>
            <w:pStyle w:val="TOC1"/>
            <w:rPr>
              <w:rFonts w:eastAsiaTheme="minorEastAsia"/>
              <w:noProof/>
              <w:lang w:eastAsia="en-GB"/>
            </w:rPr>
          </w:pPr>
          <w:hyperlink w:anchor="_Toc13157245" w:history="1">
            <w:r w:rsidR="004C42C8" w:rsidRPr="009B385C">
              <w:rPr>
                <w:rStyle w:val="Hyperlink"/>
                <w:noProof/>
              </w:rPr>
              <w:t>6</w:t>
            </w:r>
            <w:r w:rsidR="004C42C8">
              <w:rPr>
                <w:rFonts w:eastAsiaTheme="minorEastAsia"/>
                <w:noProof/>
                <w:lang w:eastAsia="en-GB"/>
              </w:rPr>
              <w:tab/>
            </w:r>
            <w:r w:rsidR="004C42C8" w:rsidRPr="009B385C">
              <w:rPr>
                <w:rStyle w:val="Hyperlink"/>
                <w:noProof/>
              </w:rPr>
              <w:t>Update on User Fee Survey and Group Wide Agreement Forum</w:t>
            </w:r>
            <w:r w:rsidR="004C42C8">
              <w:rPr>
                <w:noProof/>
                <w:webHidden/>
              </w:rPr>
              <w:tab/>
            </w:r>
            <w:r w:rsidR="004C42C8">
              <w:rPr>
                <w:noProof/>
                <w:webHidden/>
              </w:rPr>
              <w:fldChar w:fldCharType="begin"/>
            </w:r>
            <w:r w:rsidR="004C42C8">
              <w:rPr>
                <w:noProof/>
                <w:webHidden/>
              </w:rPr>
              <w:instrText xml:space="preserve"> PAGEREF _Toc13157245 \h </w:instrText>
            </w:r>
            <w:r w:rsidR="004C42C8">
              <w:rPr>
                <w:noProof/>
                <w:webHidden/>
              </w:rPr>
            </w:r>
            <w:r w:rsidR="004C42C8">
              <w:rPr>
                <w:noProof/>
                <w:webHidden/>
              </w:rPr>
              <w:fldChar w:fldCharType="separate"/>
            </w:r>
            <w:r w:rsidR="004C42C8">
              <w:rPr>
                <w:noProof/>
                <w:webHidden/>
              </w:rPr>
              <w:t>55</w:t>
            </w:r>
            <w:r w:rsidR="004C42C8">
              <w:rPr>
                <w:noProof/>
                <w:webHidden/>
              </w:rPr>
              <w:fldChar w:fldCharType="end"/>
            </w:r>
          </w:hyperlink>
        </w:p>
        <w:p w14:paraId="00599407" w14:textId="6CBF30DB" w:rsidR="004C42C8" w:rsidRDefault="00593D89">
          <w:pPr>
            <w:pStyle w:val="TOC1"/>
            <w:rPr>
              <w:rFonts w:eastAsiaTheme="minorEastAsia"/>
              <w:noProof/>
              <w:lang w:eastAsia="en-GB"/>
            </w:rPr>
          </w:pPr>
          <w:hyperlink w:anchor="_Toc13157246" w:history="1">
            <w:r w:rsidR="004C42C8" w:rsidRPr="009B385C">
              <w:rPr>
                <w:rStyle w:val="Hyperlink"/>
                <w:noProof/>
              </w:rPr>
              <w:t>7</w:t>
            </w:r>
            <w:r w:rsidR="004C42C8">
              <w:rPr>
                <w:rFonts w:eastAsiaTheme="minorEastAsia"/>
                <w:noProof/>
                <w:lang w:eastAsia="en-GB"/>
              </w:rPr>
              <w:tab/>
            </w:r>
            <w:r w:rsidR="004C42C8" w:rsidRPr="009B385C">
              <w:rPr>
                <w:rStyle w:val="Hyperlink"/>
                <w:noProof/>
              </w:rPr>
              <w:t>Appendices</w:t>
            </w:r>
            <w:r w:rsidR="004C42C8">
              <w:rPr>
                <w:noProof/>
                <w:webHidden/>
              </w:rPr>
              <w:tab/>
            </w:r>
            <w:r w:rsidR="004C42C8">
              <w:rPr>
                <w:noProof/>
                <w:webHidden/>
              </w:rPr>
              <w:fldChar w:fldCharType="begin"/>
            </w:r>
            <w:r w:rsidR="004C42C8">
              <w:rPr>
                <w:noProof/>
                <w:webHidden/>
              </w:rPr>
              <w:instrText xml:space="preserve"> PAGEREF _Toc13157246 \h </w:instrText>
            </w:r>
            <w:r w:rsidR="004C42C8">
              <w:rPr>
                <w:noProof/>
                <w:webHidden/>
              </w:rPr>
            </w:r>
            <w:r w:rsidR="004C42C8">
              <w:rPr>
                <w:noProof/>
                <w:webHidden/>
              </w:rPr>
              <w:fldChar w:fldCharType="separate"/>
            </w:r>
            <w:r w:rsidR="004C42C8">
              <w:rPr>
                <w:noProof/>
                <w:webHidden/>
              </w:rPr>
              <w:t>59</w:t>
            </w:r>
            <w:r w:rsidR="004C42C8">
              <w:rPr>
                <w:noProof/>
                <w:webHidden/>
              </w:rPr>
              <w:fldChar w:fldCharType="end"/>
            </w:r>
          </w:hyperlink>
        </w:p>
        <w:p w14:paraId="079085D2" w14:textId="4AA1D3C3" w:rsidR="004C42C8" w:rsidRDefault="00593D89">
          <w:pPr>
            <w:pStyle w:val="TOC2"/>
            <w:rPr>
              <w:rFonts w:eastAsiaTheme="minorEastAsia"/>
              <w:noProof/>
              <w:lang w:eastAsia="en-GB"/>
            </w:rPr>
          </w:pPr>
          <w:hyperlink w:anchor="_Toc13157247" w:history="1">
            <w:r w:rsidR="004C42C8" w:rsidRPr="009B385C">
              <w:rPr>
                <w:rStyle w:val="Hyperlink"/>
                <w:noProof/>
              </w:rPr>
              <w:t>7.1</w:t>
            </w:r>
            <w:r w:rsidR="004C42C8">
              <w:rPr>
                <w:rFonts w:eastAsiaTheme="minorEastAsia"/>
                <w:noProof/>
                <w:lang w:eastAsia="en-GB"/>
              </w:rPr>
              <w:tab/>
            </w:r>
            <w:r w:rsidR="004C42C8" w:rsidRPr="009B385C">
              <w:rPr>
                <w:rStyle w:val="Hyperlink"/>
                <w:noProof/>
              </w:rPr>
              <w:t>Appendix 1 - Cost Basis 2019</w:t>
            </w:r>
            <w:r w:rsidR="004C42C8">
              <w:rPr>
                <w:noProof/>
                <w:webHidden/>
              </w:rPr>
              <w:tab/>
            </w:r>
            <w:r w:rsidR="004C42C8">
              <w:rPr>
                <w:noProof/>
                <w:webHidden/>
              </w:rPr>
              <w:fldChar w:fldCharType="begin"/>
            </w:r>
            <w:r w:rsidR="004C42C8">
              <w:rPr>
                <w:noProof/>
                <w:webHidden/>
              </w:rPr>
              <w:instrText xml:space="preserve"> PAGEREF _Toc13157247 \h </w:instrText>
            </w:r>
            <w:r w:rsidR="004C42C8">
              <w:rPr>
                <w:noProof/>
                <w:webHidden/>
              </w:rPr>
            </w:r>
            <w:r w:rsidR="004C42C8">
              <w:rPr>
                <w:noProof/>
                <w:webHidden/>
              </w:rPr>
              <w:fldChar w:fldCharType="separate"/>
            </w:r>
            <w:r w:rsidR="004C42C8">
              <w:rPr>
                <w:noProof/>
                <w:webHidden/>
              </w:rPr>
              <w:t>59</w:t>
            </w:r>
            <w:r w:rsidR="004C42C8">
              <w:rPr>
                <w:noProof/>
                <w:webHidden/>
              </w:rPr>
              <w:fldChar w:fldCharType="end"/>
            </w:r>
          </w:hyperlink>
        </w:p>
        <w:p w14:paraId="4E6A8263" w14:textId="2F0C76D3" w:rsidR="004C42C8" w:rsidRDefault="00593D89">
          <w:pPr>
            <w:pStyle w:val="TOC2"/>
            <w:rPr>
              <w:rFonts w:eastAsiaTheme="minorEastAsia"/>
              <w:noProof/>
              <w:lang w:eastAsia="en-GB"/>
            </w:rPr>
          </w:pPr>
          <w:hyperlink w:anchor="_Toc13157248" w:history="1">
            <w:r w:rsidR="004C42C8" w:rsidRPr="009B385C">
              <w:rPr>
                <w:rStyle w:val="Hyperlink"/>
                <w:noProof/>
              </w:rPr>
              <w:t>7.2</w:t>
            </w:r>
            <w:r w:rsidR="004C42C8">
              <w:rPr>
                <w:rFonts w:eastAsiaTheme="minorEastAsia"/>
                <w:noProof/>
                <w:lang w:eastAsia="en-GB"/>
              </w:rPr>
              <w:tab/>
            </w:r>
            <w:r w:rsidR="004C42C8" w:rsidRPr="009B385C">
              <w:rPr>
                <w:rStyle w:val="Hyperlink"/>
                <w:noProof/>
              </w:rPr>
              <w:t>Appendix 2 - Principles for Excess Fee Income Redistribution</w:t>
            </w:r>
            <w:r w:rsidR="004C42C8">
              <w:rPr>
                <w:noProof/>
                <w:webHidden/>
              </w:rPr>
              <w:tab/>
            </w:r>
            <w:r w:rsidR="004C42C8">
              <w:rPr>
                <w:noProof/>
                <w:webHidden/>
              </w:rPr>
              <w:fldChar w:fldCharType="begin"/>
            </w:r>
            <w:r w:rsidR="004C42C8">
              <w:rPr>
                <w:noProof/>
                <w:webHidden/>
              </w:rPr>
              <w:instrText xml:space="preserve"> PAGEREF _Toc13157248 \h </w:instrText>
            </w:r>
            <w:r w:rsidR="004C42C8">
              <w:rPr>
                <w:noProof/>
                <w:webHidden/>
              </w:rPr>
            </w:r>
            <w:r w:rsidR="004C42C8">
              <w:rPr>
                <w:noProof/>
                <w:webHidden/>
              </w:rPr>
              <w:fldChar w:fldCharType="separate"/>
            </w:r>
            <w:r w:rsidR="004C42C8">
              <w:rPr>
                <w:noProof/>
                <w:webHidden/>
              </w:rPr>
              <w:t>60</w:t>
            </w:r>
            <w:r w:rsidR="004C42C8">
              <w:rPr>
                <w:noProof/>
                <w:webHidden/>
              </w:rPr>
              <w:fldChar w:fldCharType="end"/>
            </w:r>
          </w:hyperlink>
        </w:p>
        <w:p w14:paraId="6718E18D" w14:textId="5FB3A1CD" w:rsidR="004C42C8" w:rsidRDefault="00593D89">
          <w:pPr>
            <w:pStyle w:val="TOC2"/>
            <w:rPr>
              <w:rFonts w:eastAsiaTheme="minorEastAsia"/>
              <w:noProof/>
              <w:lang w:eastAsia="en-GB"/>
            </w:rPr>
          </w:pPr>
          <w:hyperlink w:anchor="_Toc13157249" w:history="1">
            <w:r w:rsidR="004C42C8" w:rsidRPr="009B385C">
              <w:rPr>
                <w:rStyle w:val="Hyperlink"/>
                <w:noProof/>
              </w:rPr>
              <w:t>7.3</w:t>
            </w:r>
            <w:r w:rsidR="004C42C8">
              <w:rPr>
                <w:rFonts w:eastAsiaTheme="minorEastAsia"/>
                <w:noProof/>
                <w:lang w:eastAsia="en-GB"/>
              </w:rPr>
              <w:tab/>
            </w:r>
            <w:r w:rsidR="004C42C8" w:rsidRPr="009B385C">
              <w:rPr>
                <w:rStyle w:val="Hyperlink"/>
                <w:noProof/>
              </w:rPr>
              <w:t>Appendix 3 - Second Consultation Questions for Industry</w:t>
            </w:r>
            <w:r w:rsidR="004C42C8">
              <w:rPr>
                <w:noProof/>
                <w:webHidden/>
              </w:rPr>
              <w:tab/>
            </w:r>
            <w:r w:rsidR="004C42C8">
              <w:rPr>
                <w:noProof/>
                <w:webHidden/>
              </w:rPr>
              <w:fldChar w:fldCharType="begin"/>
            </w:r>
            <w:r w:rsidR="004C42C8">
              <w:rPr>
                <w:noProof/>
                <w:webHidden/>
              </w:rPr>
              <w:instrText xml:space="preserve"> PAGEREF _Toc13157249 \h </w:instrText>
            </w:r>
            <w:r w:rsidR="004C42C8">
              <w:rPr>
                <w:noProof/>
                <w:webHidden/>
              </w:rPr>
            </w:r>
            <w:r w:rsidR="004C42C8">
              <w:rPr>
                <w:noProof/>
                <w:webHidden/>
              </w:rPr>
              <w:fldChar w:fldCharType="separate"/>
            </w:r>
            <w:r w:rsidR="004C42C8">
              <w:rPr>
                <w:noProof/>
                <w:webHidden/>
              </w:rPr>
              <w:t>61</w:t>
            </w:r>
            <w:r w:rsidR="004C42C8">
              <w:rPr>
                <w:noProof/>
                <w:webHidden/>
              </w:rPr>
              <w:fldChar w:fldCharType="end"/>
            </w:r>
          </w:hyperlink>
        </w:p>
        <w:p w14:paraId="6A6625D3" w14:textId="51E5624F" w:rsidR="00805441" w:rsidRDefault="00805441">
          <w:r>
            <w:rPr>
              <w:b/>
              <w:bCs/>
              <w:noProof/>
            </w:rPr>
            <w:fldChar w:fldCharType="end"/>
          </w:r>
        </w:p>
      </w:sdtContent>
    </w:sdt>
    <w:p w14:paraId="6BC5F028" w14:textId="1FE95D4B" w:rsidR="006479BD" w:rsidRDefault="005048F6">
      <w:pPr>
        <w:rPr>
          <w:rFonts w:asciiTheme="majorHAnsi" w:eastAsiaTheme="majorEastAsia" w:hAnsiTheme="majorHAnsi" w:cstheme="majorBidi"/>
          <w:color w:val="2E74B5" w:themeColor="accent1" w:themeShade="BF"/>
          <w:sz w:val="32"/>
          <w:szCs w:val="32"/>
        </w:rPr>
      </w:pPr>
      <w:r>
        <w:br w:type="page"/>
      </w:r>
    </w:p>
    <w:p w14:paraId="239B2CF0" w14:textId="77777777" w:rsidR="005048F6" w:rsidRDefault="005048F6" w:rsidP="005048F6">
      <w:pPr>
        <w:pStyle w:val="Heading1"/>
        <w:spacing w:line="276" w:lineRule="auto"/>
        <w:ind w:left="426"/>
      </w:pPr>
      <w:bookmarkStart w:id="3" w:name="_Toc517783474"/>
      <w:bookmarkStart w:id="4" w:name="_Toc13087120"/>
      <w:bookmarkStart w:id="5" w:name="_Toc13157210"/>
      <w:r w:rsidRPr="00541F75">
        <w:lastRenderedPageBreak/>
        <w:t>Introduction</w:t>
      </w:r>
      <w:bookmarkEnd w:id="1"/>
      <w:bookmarkEnd w:id="0"/>
      <w:bookmarkEnd w:id="3"/>
      <w:bookmarkEnd w:id="4"/>
      <w:bookmarkEnd w:id="5"/>
    </w:p>
    <w:p w14:paraId="1317B727" w14:textId="54B59BF1" w:rsidR="005048F6" w:rsidRPr="00B17648" w:rsidRDefault="005048F6" w:rsidP="005048F6">
      <w:pPr>
        <w:spacing w:before="240" w:line="276" w:lineRule="auto"/>
      </w:pPr>
      <w:r w:rsidRPr="00B17648">
        <w:t>The Association of National Numbering Agencies (“ANNA”) founded</w:t>
      </w:r>
      <w:r>
        <w:t xml:space="preserve"> </w:t>
      </w:r>
      <w:r w:rsidRPr="00B17648">
        <w:t>the Derivatives Service Bureau (DSB) for the allocation and maintenance of International Securities Identification Numbers (ISINs)</w:t>
      </w:r>
      <w:r w:rsidR="00C9582C">
        <w:t xml:space="preserve">, Classification of Financial Instrument (CFI) codes and Financial Instrument Short Names (FISNs) </w:t>
      </w:r>
      <w:r w:rsidRPr="00B17648">
        <w:t xml:space="preserve">for OTC derivatives. </w:t>
      </w:r>
    </w:p>
    <w:p w14:paraId="0FD9FCFB" w14:textId="702D6803" w:rsidR="005048F6" w:rsidRPr="00B17648" w:rsidRDefault="005048F6" w:rsidP="005048F6">
      <w:pPr>
        <w:spacing w:line="276" w:lineRule="auto"/>
      </w:pPr>
      <w:r w:rsidRPr="00B17648">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300E529E" w14:textId="5C7A91EA" w:rsidR="007C4095" w:rsidRDefault="005048F6" w:rsidP="007C4095">
      <w:pPr>
        <w:spacing w:before="240" w:line="276" w:lineRule="auto"/>
      </w:pPr>
      <w:r w:rsidRPr="00B17648">
        <w:t>The European Union’s MiFID II/</w:t>
      </w:r>
      <w:r>
        <w:t xml:space="preserve"> </w:t>
      </w:r>
      <w:r w:rsidRPr="00B17648">
        <w:t>MiFIR regulations mandate the use of ISINs to identify certain OTC derivatives, starting 3</w:t>
      </w:r>
      <w:r w:rsidR="00AA2E69" w:rsidRPr="00AA2E69">
        <w:rPr>
          <w:vertAlign w:val="superscript"/>
        </w:rPr>
        <w:t>rd</w:t>
      </w:r>
      <w:r w:rsidR="00AA2E69">
        <w:t xml:space="preserve"> </w:t>
      </w:r>
      <w:r w:rsidRPr="00B17648">
        <w:t>January 2018. The affected OTC derivatives include those trad</w:t>
      </w:r>
      <w:r>
        <w:t>e</w:t>
      </w:r>
      <w:r w:rsidRPr="00B17648">
        <w:t xml:space="preserve">able on a European </w:t>
      </w:r>
      <w:r>
        <w:t>tr</w:t>
      </w:r>
      <w:r w:rsidRPr="00B17648">
        <w:t>ading venue (ToTV) and those with underlying asset(s) tradeable on a European trading venue (uToTV). The reporting obligations for these instruments affect trading venu</w:t>
      </w:r>
      <w:r>
        <w:t>es and Systematic I</w:t>
      </w:r>
      <w:r w:rsidRPr="00B17648">
        <w:t>nternalisers (SIs)</w:t>
      </w:r>
      <w:r>
        <w:rPr>
          <w:rStyle w:val="FootnoteReference"/>
        </w:rPr>
        <w:footnoteReference w:id="2"/>
      </w:r>
      <w:r w:rsidRPr="00B17648">
        <w:t xml:space="preserve">. </w:t>
      </w:r>
      <w:r w:rsidR="007C4095">
        <w:t xml:space="preserve">ANNA, after discussions with the industry and ISO, set up the Derivatives Service Bureau (DSB) to assign global, permanent and timely ISINs to OTC derivatives. </w:t>
      </w:r>
    </w:p>
    <w:p w14:paraId="6D844F3C" w14:textId="47860531" w:rsidR="00DB7AE4" w:rsidRDefault="00DB7AE4" w:rsidP="00DB7AE4">
      <w:pPr>
        <w:spacing w:before="240" w:line="276" w:lineRule="auto"/>
      </w:pPr>
      <w:r>
        <w:t>The current level of ISIN</w:t>
      </w:r>
      <w:r w:rsidR="00025170">
        <w:t>, CFI and FISN</w:t>
      </w:r>
      <w:r>
        <w:t xml:space="preserve"> generated by the DSB is designed to enable users to satisfy</w:t>
      </w:r>
      <w:r w:rsidR="00025170">
        <w:t xml:space="preserve"> </w:t>
      </w:r>
      <w:r>
        <w:t>obligations</w:t>
      </w:r>
      <w:r w:rsidR="00025170">
        <w:t xml:space="preserve"> under MiFID II and MiFIR</w:t>
      </w:r>
      <w:r>
        <w:t xml:space="preserve">, with </w:t>
      </w:r>
      <w:r w:rsidR="00240590">
        <w:t xml:space="preserve">the </w:t>
      </w:r>
      <w:bookmarkStart w:id="6" w:name="_Hlk12997614"/>
      <w:r w:rsidR="00240590">
        <w:t>capability of an identification hierarchy</w:t>
      </w:r>
      <w:bookmarkEnd w:id="6"/>
      <w:r w:rsidR="00240590">
        <w:t xml:space="preserve"> to be introduced </w:t>
      </w:r>
      <w:r>
        <w:t>as required by industry</w:t>
      </w:r>
      <w:r w:rsidR="00240590">
        <w:t>, such as UPI</w:t>
      </w:r>
      <w:r w:rsidR="00240590">
        <w:rPr>
          <w:rStyle w:val="FootnoteReference"/>
        </w:rPr>
        <w:footnoteReference w:id="3"/>
      </w:r>
      <w:r>
        <w:t xml:space="preserve">. Likewise, the CFI codes provided assist with EMIR Level III reporting to offering a single, consistently generated value that can be absorbed by all users of DSB data. </w:t>
      </w:r>
    </w:p>
    <w:p w14:paraId="661E46D4" w14:textId="54F97144" w:rsidR="00560588" w:rsidRDefault="00560588" w:rsidP="00560588">
      <w:pPr>
        <w:spacing w:before="240" w:line="276" w:lineRule="auto"/>
      </w:pPr>
      <w:r>
        <w:t xml:space="preserve">Over 70% of institutions using the service access the DSB free of cost as Registered Users, </w:t>
      </w:r>
      <w:r w:rsidRPr="00554681">
        <w:t>18%</w:t>
      </w:r>
      <w:r>
        <w:t xml:space="preserve"> Power Users (organizations – including affiliates - with programmatic connectivity), 3% Infrequent Users – including affiliates (GUI connectivity) and 8% Standard Users – including affiliates (GUI connectivity). Amongst fee paying users; </w:t>
      </w:r>
      <w:r w:rsidR="00E9269F" w:rsidRPr="00E9269F">
        <w:t>banks and credit institutions contribute towards 52% of DSB fees, trading venues contribute 35% with the balance comprised of the buy-side, data vendors and others.</w:t>
      </w:r>
      <w:r>
        <w:t xml:space="preserve"> </w:t>
      </w:r>
    </w:p>
    <w:p w14:paraId="072ADAAB" w14:textId="1333BF00" w:rsidR="005048F6" w:rsidRDefault="75828AE8" w:rsidP="005048F6">
      <w:pPr>
        <w:spacing w:line="276" w:lineRule="auto"/>
      </w:pPr>
      <w:r>
        <w:t>The purpose of this document is to present a summary of industry feedback to the first consultation paper in 201</w:t>
      </w:r>
      <w:r w:rsidR="002B5C5B">
        <w:t>9</w:t>
      </w:r>
      <w:r w:rsidR="00C96581">
        <w:t xml:space="preserve">, related to the </w:t>
      </w:r>
      <w:r w:rsidR="00C96581" w:rsidRPr="00DB3456">
        <w:t xml:space="preserve">Proposed Amendments to Functionality, Data Submission Process, Service Levels, Service Availability &amp; Cybersecurity </w:t>
      </w:r>
      <w:r w:rsidR="00C96581">
        <w:t>for the</w:t>
      </w:r>
      <w:r w:rsidR="00C96581" w:rsidRPr="00DB3456">
        <w:t xml:space="preserve"> 2020</w:t>
      </w:r>
      <w:r w:rsidR="00C96581">
        <w:t xml:space="preserve"> service provision,</w:t>
      </w:r>
      <w:r>
        <w:t xml:space="preserve"> and present further information for review </w:t>
      </w:r>
      <w:r w:rsidR="00E9269F">
        <w:t xml:space="preserve">and feedback </w:t>
      </w:r>
      <w:r>
        <w:t>in the light of those responses. This second paper should be read in conjunction with the original consultation and subsequent responses which are available here</w:t>
      </w:r>
      <w:r w:rsidR="00101C58" w:rsidRPr="00101C58">
        <w:t xml:space="preserve"> </w:t>
      </w:r>
      <w:hyperlink r:id="rId9" w:history="1">
        <w:r w:rsidR="00101C58">
          <w:rPr>
            <w:rStyle w:val="Hyperlink"/>
          </w:rPr>
          <w:t>https://www.anna-dsb.com/2020-user-fee-and-user-agreement-consultations/</w:t>
        </w:r>
      </w:hyperlink>
      <w:r>
        <w:t xml:space="preserve">.  </w:t>
      </w:r>
    </w:p>
    <w:p w14:paraId="121397CF" w14:textId="77777777" w:rsidR="005048F6" w:rsidRDefault="005048F6">
      <w:pPr>
        <w:rPr>
          <w:rFonts w:asciiTheme="majorHAnsi" w:eastAsiaTheme="majorEastAsia" w:hAnsiTheme="majorHAnsi" w:cstheme="majorBidi"/>
          <w:color w:val="2E74B5" w:themeColor="accent1" w:themeShade="BF"/>
          <w:sz w:val="32"/>
          <w:szCs w:val="32"/>
        </w:rPr>
      </w:pPr>
      <w:r>
        <w:br w:type="page"/>
      </w:r>
    </w:p>
    <w:p w14:paraId="14B390D5" w14:textId="77777777" w:rsidR="00764B72" w:rsidRDefault="00764B72" w:rsidP="00765BA8">
      <w:pPr>
        <w:pStyle w:val="Heading1"/>
        <w:spacing w:line="276" w:lineRule="auto"/>
      </w:pPr>
      <w:bookmarkStart w:id="7" w:name="_Toc517783475"/>
      <w:bookmarkStart w:id="8" w:name="_Toc13087121"/>
      <w:bookmarkStart w:id="9" w:name="_Toc13157211"/>
      <w:r>
        <w:lastRenderedPageBreak/>
        <w:t>Executive Summary</w:t>
      </w:r>
      <w:bookmarkEnd w:id="2"/>
      <w:bookmarkEnd w:id="7"/>
      <w:bookmarkEnd w:id="8"/>
      <w:bookmarkEnd w:id="9"/>
    </w:p>
    <w:p w14:paraId="5A0A7340" w14:textId="1AAEA250" w:rsidR="00BD7B82" w:rsidRDefault="00D30E30" w:rsidP="00BD7B82">
      <w:pPr>
        <w:spacing w:before="240" w:line="276" w:lineRule="auto"/>
      </w:pPr>
      <w:r>
        <w:t>T</w:t>
      </w:r>
      <w:r w:rsidR="00BD7B82">
        <w:t xml:space="preserve">he DSB serves two distinct </w:t>
      </w:r>
      <w:r w:rsidR="00224B8C">
        <w:t>categories</w:t>
      </w:r>
      <w:r w:rsidR="00BD7B82">
        <w:t xml:space="preserve"> of users </w:t>
      </w:r>
      <w:r w:rsidR="002974C6">
        <w:t xml:space="preserve">for each of </w:t>
      </w:r>
      <w:r w:rsidR="00BD7B82">
        <w:t>OTC record creat</w:t>
      </w:r>
      <w:r w:rsidR="002974C6">
        <w:t>ion and consumption</w:t>
      </w:r>
      <w:r w:rsidR="00C96581">
        <w:t>. C</w:t>
      </w:r>
      <w:r w:rsidR="00872693">
        <w:t>onsumers access t</w:t>
      </w:r>
      <w:r w:rsidR="00BD7B82">
        <w:t xml:space="preserve">he DSB for end of day data and/ or search the DSB for all or part of the OTC record which contains the OTC ISIN, the CFI, the FISN and the full set of associated user input and derived attributes. </w:t>
      </w:r>
    </w:p>
    <w:p w14:paraId="40C0DD92" w14:textId="5CD0D7B7" w:rsidR="00D00829" w:rsidRDefault="00872693" w:rsidP="00D45712">
      <w:pPr>
        <w:spacing w:line="276" w:lineRule="auto"/>
      </w:pPr>
      <w:r>
        <w:t xml:space="preserve">OTC </w:t>
      </w:r>
      <w:r w:rsidR="00BD7B82">
        <w:t>ISIN creation activity</w:t>
      </w:r>
      <w:r>
        <w:t xml:space="preserve"> </w:t>
      </w:r>
      <w:r w:rsidR="00BD7B82">
        <w:t xml:space="preserve">is </w:t>
      </w:r>
      <w:r>
        <w:t xml:space="preserve">driven </w:t>
      </w:r>
      <w:r w:rsidR="00BD7B82">
        <w:t>by the sell-side</w:t>
      </w:r>
      <w:r w:rsidR="005B7BE1">
        <w:t xml:space="preserve"> (in terms of the number of OTC ISINs created)</w:t>
      </w:r>
      <w:r w:rsidR="00BD7B82">
        <w:t xml:space="preserve">, </w:t>
      </w:r>
      <w:r w:rsidR="00501DEA">
        <w:t xml:space="preserve">with </w:t>
      </w:r>
      <w:r w:rsidR="001873FB">
        <w:t xml:space="preserve">a </w:t>
      </w:r>
      <w:r w:rsidR="00BD7B82">
        <w:t>broader range of data consumers, who comprise over 70% of all firms acce</w:t>
      </w:r>
      <w:r w:rsidR="00D27954">
        <w:t>ssing</w:t>
      </w:r>
      <w:r w:rsidR="00BD7B82">
        <w:t xml:space="preserve"> the DSB’s services. </w:t>
      </w:r>
    </w:p>
    <w:p w14:paraId="4F9A81EA" w14:textId="62B69181" w:rsidR="00206606" w:rsidRDefault="00593D89" w:rsidP="00D45712">
      <w:pPr>
        <w:spacing w:line="276" w:lineRule="auto"/>
      </w:pPr>
      <w:hyperlink r:id="rId10" w:anchor="DSB-2020-First-Consultation" w:history="1">
        <w:r w:rsidR="0094363C" w:rsidRPr="00AA0FC9">
          <w:rPr>
            <w:rStyle w:val="Hyperlink"/>
          </w:rPr>
          <w:t xml:space="preserve">As the data </w:t>
        </w:r>
        <w:r w:rsidR="006528F8" w:rsidRPr="00AA0FC9">
          <w:rPr>
            <w:rStyle w:val="Hyperlink"/>
          </w:rPr>
          <w:t xml:space="preserve">in Consultation Paper 1 </w:t>
        </w:r>
        <w:r w:rsidR="00731DDC">
          <w:rPr>
            <w:rStyle w:val="Hyperlink"/>
          </w:rPr>
          <w:t xml:space="preserve">(CP1) </w:t>
        </w:r>
        <w:r w:rsidR="0094363C" w:rsidRPr="00AA0FC9">
          <w:rPr>
            <w:rStyle w:val="Hyperlink"/>
          </w:rPr>
          <w:t>shows</w:t>
        </w:r>
      </w:hyperlink>
      <w:r w:rsidR="006528F8" w:rsidRPr="00AA0FC9">
        <w:rPr>
          <w:rStyle w:val="FootnoteReference"/>
        </w:rPr>
        <w:footnoteReference w:id="4"/>
      </w:r>
      <w:r w:rsidR="0094363C" w:rsidRPr="00AA0FC9">
        <w:t>, the</w:t>
      </w:r>
      <w:r w:rsidR="0094363C">
        <w:t xml:space="preserve"> </w:t>
      </w:r>
      <w:r w:rsidR="00206606">
        <w:t xml:space="preserve">DSB facilitates access </w:t>
      </w:r>
      <w:r w:rsidR="009C3487">
        <w:t>for</w:t>
      </w:r>
      <w:r w:rsidR="00206606">
        <w:t xml:space="preserve"> a broad spectrum of users, including credit institutions, small brokerages, private wealth management firms</w:t>
      </w:r>
      <w:r w:rsidR="009C3487">
        <w:t xml:space="preserve">, </w:t>
      </w:r>
      <w:r w:rsidR="00AE3DE2">
        <w:t xml:space="preserve">boutique </w:t>
      </w:r>
      <w:r w:rsidR="00206606">
        <w:t>asset man</w:t>
      </w:r>
      <w:r w:rsidR="00AE3DE2">
        <w:t>agers</w:t>
      </w:r>
      <w:r w:rsidR="00132D92">
        <w:t xml:space="preserve">, </w:t>
      </w:r>
      <w:r w:rsidR="00AE3DE2">
        <w:t>large, multi-</w:t>
      </w:r>
      <w:r w:rsidR="00132D92">
        <w:t>segment</w:t>
      </w:r>
      <w:r w:rsidR="009C3487">
        <w:t xml:space="preserve"> and/or multi-market</w:t>
      </w:r>
      <w:r w:rsidR="00AE3DE2">
        <w:t xml:space="preserve"> trading venues</w:t>
      </w:r>
      <w:r w:rsidR="00132D92">
        <w:t>,</w:t>
      </w:r>
      <w:r w:rsidR="00AE3DE2">
        <w:t xml:space="preserve"> </w:t>
      </w:r>
      <w:r w:rsidR="00206606">
        <w:t>derivatives houses from across the buy</w:t>
      </w:r>
      <w:r w:rsidR="00132D92">
        <w:t xml:space="preserve"> and sell</w:t>
      </w:r>
      <w:r w:rsidR="00206606">
        <w:t>-side</w:t>
      </w:r>
      <w:r w:rsidR="00132D92">
        <w:t>s</w:t>
      </w:r>
      <w:r w:rsidR="00206606">
        <w:t xml:space="preserve"> and </w:t>
      </w:r>
      <w:r w:rsidR="00132D92">
        <w:t>universal</w:t>
      </w:r>
      <w:r w:rsidR="009C3487">
        <w:t>-</w:t>
      </w:r>
      <w:r w:rsidR="00132D92">
        <w:t xml:space="preserve">bank style </w:t>
      </w:r>
      <w:r w:rsidR="00206606">
        <w:t xml:space="preserve">sell-side </w:t>
      </w:r>
      <w:r w:rsidR="00132D92">
        <w:t>institutions with multiple business segments within a single group holding structure</w:t>
      </w:r>
      <w:r w:rsidR="00206606">
        <w:t xml:space="preserve">. </w:t>
      </w:r>
    </w:p>
    <w:p w14:paraId="790D2741" w14:textId="6E53301C" w:rsidR="00726F97" w:rsidRDefault="00AC3E02" w:rsidP="00726F97">
      <w:pPr>
        <w:spacing w:before="240" w:after="0" w:line="276" w:lineRule="auto"/>
      </w:pPr>
      <w:r>
        <w:t xml:space="preserve">The DSB completed </w:t>
      </w:r>
      <w:r w:rsidR="006D155E">
        <w:t xml:space="preserve">the first round of </w:t>
      </w:r>
      <w:r>
        <w:t xml:space="preserve">consultation </w:t>
      </w:r>
      <w:r w:rsidR="00117E60">
        <w:t>on 5</w:t>
      </w:r>
      <w:r w:rsidR="00117E60" w:rsidRPr="00146276">
        <w:rPr>
          <w:vertAlign w:val="superscript"/>
        </w:rPr>
        <w:t>th</w:t>
      </w:r>
      <w:r w:rsidR="00117E60">
        <w:t xml:space="preserve"> June 2019</w:t>
      </w:r>
      <w:r w:rsidR="006D155E">
        <w:t>, having s</w:t>
      </w:r>
      <w:r w:rsidR="008070B0">
        <w:t xml:space="preserve">ought industry’s views on a range of </w:t>
      </w:r>
      <w:r w:rsidR="00746658">
        <w:t xml:space="preserve">possible enhancements that could be made </w:t>
      </w:r>
      <w:r w:rsidR="008070B0">
        <w:t xml:space="preserve">in </w:t>
      </w:r>
      <w:r>
        <w:t>2020</w:t>
      </w:r>
      <w:r w:rsidR="008070B0">
        <w:t>. The fi</w:t>
      </w:r>
      <w:r w:rsidR="000F634A">
        <w:t>r</w:t>
      </w:r>
      <w:r w:rsidR="008070B0">
        <w:t xml:space="preserve">st consultation </w:t>
      </w:r>
      <w:r w:rsidR="00726F97">
        <w:t>examined DSB</w:t>
      </w:r>
      <w:r>
        <w:t xml:space="preserve"> functionality, data submission</w:t>
      </w:r>
      <w:r w:rsidR="00726F97">
        <w:t xml:space="preserve"> </w:t>
      </w:r>
      <w:r w:rsidR="006A3354">
        <w:t>aspects</w:t>
      </w:r>
      <w:r>
        <w:t xml:space="preserve">, service levels, service availability and cybersecurity, with industry responses </w:t>
      </w:r>
      <w:hyperlink r:id="rId11" w:history="1">
        <w:r w:rsidRPr="00DC672A">
          <w:rPr>
            <w:rStyle w:val="Hyperlink"/>
          </w:rPr>
          <w:t>published on the DSB website</w:t>
        </w:r>
      </w:hyperlink>
      <w:r w:rsidR="00C96581">
        <w:rPr>
          <w:rStyle w:val="FootnoteReference"/>
          <w:color w:val="0563C1" w:themeColor="hyperlink"/>
          <w:u w:val="single"/>
        </w:rPr>
        <w:footnoteReference w:id="5"/>
      </w:r>
      <w:r>
        <w:t>.</w:t>
      </w:r>
      <w:r w:rsidR="00593B11">
        <w:t xml:space="preserve"> Requests for feedback were se</w:t>
      </w:r>
      <w:r w:rsidR="00633D35">
        <w:t xml:space="preserve">nt to </w:t>
      </w:r>
      <w:r w:rsidR="00005CAE">
        <w:t>the DSB’s user community</w:t>
      </w:r>
      <w:r w:rsidR="00726F97">
        <w:t>, comprising more than</w:t>
      </w:r>
      <w:r w:rsidR="00005CAE">
        <w:t xml:space="preserve"> </w:t>
      </w:r>
      <w:r w:rsidR="003B179D">
        <w:t>3,100</w:t>
      </w:r>
      <w:r w:rsidR="00005CAE">
        <w:t xml:space="preserve"> </w:t>
      </w:r>
      <w:r w:rsidR="00B0732E">
        <w:t xml:space="preserve">individuals </w:t>
      </w:r>
      <w:r w:rsidR="00005CAE">
        <w:t xml:space="preserve">across </w:t>
      </w:r>
      <w:r w:rsidR="00EF0578">
        <w:t xml:space="preserve">420 </w:t>
      </w:r>
      <w:r w:rsidR="00005CAE">
        <w:t xml:space="preserve">organizations. </w:t>
      </w:r>
    </w:p>
    <w:p w14:paraId="744A588C" w14:textId="07FD5C9B" w:rsidR="004D7E14" w:rsidRDefault="00005CAE" w:rsidP="000C3476">
      <w:pPr>
        <w:spacing w:before="240" w:line="276" w:lineRule="auto"/>
      </w:pPr>
      <w:r>
        <w:t xml:space="preserve">The DSB received </w:t>
      </w:r>
      <w:r w:rsidR="00DC672A">
        <w:t>1</w:t>
      </w:r>
      <w:r w:rsidR="00DF60F9">
        <w:t>5</w:t>
      </w:r>
      <w:r w:rsidR="00DC672A">
        <w:t xml:space="preserve"> responses</w:t>
      </w:r>
      <w:r w:rsidR="006A0C7C">
        <w:t xml:space="preserve"> representing a total of </w:t>
      </w:r>
      <w:r w:rsidR="00560588">
        <w:t>19</w:t>
      </w:r>
      <w:r w:rsidR="00DC672A">
        <w:t xml:space="preserve"> institutions</w:t>
      </w:r>
      <w:r w:rsidR="00CE745E">
        <w:t xml:space="preserve">, </w:t>
      </w:r>
      <w:r w:rsidR="00975EAA">
        <w:t xml:space="preserve">with </w:t>
      </w:r>
      <w:r w:rsidR="00F7378A">
        <w:t xml:space="preserve">one third of the responses from </w:t>
      </w:r>
      <w:r w:rsidR="00DF60F9">
        <w:t xml:space="preserve">trade associations - </w:t>
      </w:r>
      <w:r w:rsidR="0006167F">
        <w:t>doubl</w:t>
      </w:r>
      <w:r w:rsidR="00BE433B">
        <w:t xml:space="preserve">e that in the </w:t>
      </w:r>
      <w:r w:rsidR="005D7CD8">
        <w:t>prior year</w:t>
      </w:r>
      <w:r w:rsidR="00DF60F9">
        <w:t>,</w:t>
      </w:r>
      <w:r w:rsidR="004E1218">
        <w:t xml:space="preserve"> </w:t>
      </w:r>
      <w:r w:rsidR="00F7378A">
        <w:t xml:space="preserve">a third from </w:t>
      </w:r>
      <w:r w:rsidR="00EE6DB6">
        <w:t xml:space="preserve">institutions seeking anonymity </w:t>
      </w:r>
      <w:r w:rsidR="004E1218">
        <w:t xml:space="preserve">and </w:t>
      </w:r>
      <w:r w:rsidR="00677707">
        <w:t>v</w:t>
      </w:r>
      <w:r w:rsidR="00BE433B">
        <w:t>iews from a broad range of industry participants</w:t>
      </w:r>
      <w:r w:rsidR="004D7E14">
        <w:t>. This s</w:t>
      </w:r>
      <w:r w:rsidR="005D7CD8">
        <w:t>uggests increased aware</w:t>
      </w:r>
      <w:r w:rsidR="004D7E14">
        <w:t>ness</w:t>
      </w:r>
      <w:r w:rsidR="005D7CD8">
        <w:t xml:space="preserve"> of and interaction with the DSB from a broader set of industry participants. </w:t>
      </w:r>
      <w:r w:rsidR="00D94CD9">
        <w:t xml:space="preserve"> </w:t>
      </w:r>
    </w:p>
    <w:p w14:paraId="5E6A0298" w14:textId="10A15A60" w:rsidR="00DC672A" w:rsidRDefault="00D94CD9" w:rsidP="000C3476">
      <w:pPr>
        <w:spacing w:before="240" w:line="276" w:lineRule="auto"/>
      </w:pPr>
      <w:r>
        <w:t>Institutional r</w:t>
      </w:r>
      <w:r w:rsidR="00B64156">
        <w:t xml:space="preserve">espondents included </w:t>
      </w:r>
      <w:r w:rsidR="00A67947">
        <w:t xml:space="preserve">the buy-side, data vendors, </w:t>
      </w:r>
      <w:r w:rsidR="00E0683E">
        <w:t xml:space="preserve">the sell-side, </w:t>
      </w:r>
      <w:r w:rsidR="00B64156">
        <w:t>trading venues</w:t>
      </w:r>
      <w:r w:rsidR="00E0683E">
        <w:t xml:space="preserve"> and o</w:t>
      </w:r>
      <w:r>
        <w:t>ther intermediaries</w:t>
      </w:r>
      <w:r w:rsidR="00B64156">
        <w:t xml:space="preserve">. </w:t>
      </w:r>
      <w:r w:rsidR="007A096B">
        <w:t xml:space="preserve">Several members chose to keep their responses anonymous. In the majority of cases, such members belonged to </w:t>
      </w:r>
      <w:r w:rsidR="00886523">
        <w:t xml:space="preserve">trade associations </w:t>
      </w:r>
      <w:r w:rsidR="007A096B">
        <w:t>who also provided their own</w:t>
      </w:r>
      <w:r w:rsidR="00C15E07">
        <w:t>, sometimes differing,</w:t>
      </w:r>
      <w:r w:rsidR="007A096B">
        <w:t xml:space="preserve"> feedback</w:t>
      </w:r>
      <w:r w:rsidR="00886523">
        <w:t xml:space="preserve">. The DSB has honoured these requests </w:t>
      </w:r>
      <w:r w:rsidR="00365C17">
        <w:t xml:space="preserve">for anonymity </w:t>
      </w:r>
      <w:r w:rsidR="00886523">
        <w:t xml:space="preserve">in line with standard practice while noting the type of institution at the header of each such response. </w:t>
      </w:r>
    </w:p>
    <w:p w14:paraId="302F6511" w14:textId="25051BA4" w:rsidR="00E24966" w:rsidRPr="00E24966" w:rsidRDefault="75828AE8" w:rsidP="000C3476">
      <w:pPr>
        <w:spacing w:before="240" w:after="0" w:line="276" w:lineRule="auto"/>
      </w:pPr>
      <w:r w:rsidRPr="00E24966">
        <w:t xml:space="preserve">Responses to CP1 show </w:t>
      </w:r>
      <w:r w:rsidR="008C3182" w:rsidRPr="00E24966">
        <w:t xml:space="preserve">that the DSB has become an integrated part of users’ business processes, with </w:t>
      </w:r>
      <w:r w:rsidR="00D87258" w:rsidRPr="00BB1525">
        <w:t>the DSB receiving</w:t>
      </w:r>
      <w:r w:rsidR="00D87258">
        <w:t xml:space="preserve"> </w:t>
      </w:r>
      <w:r w:rsidR="00D87258" w:rsidRPr="00BB1525">
        <w:t>significant interest in providing</w:t>
      </w:r>
      <w:r w:rsidR="008C3182" w:rsidRPr="00E24966">
        <w:t xml:space="preserve"> additional OTC derivative reference data related </w:t>
      </w:r>
      <w:r w:rsidR="00E24966" w:rsidRPr="00E24966">
        <w:t xml:space="preserve">assistance </w:t>
      </w:r>
      <w:r w:rsidR="00D87258">
        <w:t>to industry</w:t>
      </w:r>
      <w:r w:rsidR="00E24966" w:rsidRPr="00E24966">
        <w:t xml:space="preserve">. As with prior years, there is a continued </w:t>
      </w:r>
      <w:r w:rsidRPr="00E24966">
        <w:t xml:space="preserve">divergence in the needs of the differing constituencies served by the DSB - with </w:t>
      </w:r>
      <w:r w:rsidR="005D7B64">
        <w:t xml:space="preserve">many </w:t>
      </w:r>
      <w:r w:rsidR="00886523" w:rsidRPr="00E24966">
        <w:t>Systematic</w:t>
      </w:r>
      <w:r w:rsidRPr="00E24966">
        <w:t xml:space="preserve"> Internalisers seeking an expansion of DSB product coverage and </w:t>
      </w:r>
      <w:r w:rsidR="00997A4F">
        <w:t>functionality;</w:t>
      </w:r>
      <w:r w:rsidRPr="00E24966">
        <w:t xml:space="preserve"> </w:t>
      </w:r>
      <w:r w:rsidR="00997A4F">
        <w:t xml:space="preserve">and with </w:t>
      </w:r>
      <w:r w:rsidRPr="00E24966">
        <w:t xml:space="preserve">Trading Venues </w:t>
      </w:r>
      <w:r w:rsidR="00224A07" w:rsidRPr="00E24966">
        <w:t xml:space="preserve">(in general) </w:t>
      </w:r>
      <w:r w:rsidR="00B24B3C">
        <w:t xml:space="preserve">not requiring further functionality and instead </w:t>
      </w:r>
      <w:r w:rsidR="004D4BEC" w:rsidRPr="004D4BEC">
        <w:t xml:space="preserve">focusing on the delivery of the existing regulatory mandate </w:t>
      </w:r>
      <w:r w:rsidR="009E6652">
        <w:t xml:space="preserve">in a </w:t>
      </w:r>
      <w:r w:rsidR="004D4BEC" w:rsidRPr="004D4BEC">
        <w:t>safe and cost-effective</w:t>
      </w:r>
      <w:r w:rsidR="009E6652">
        <w:t xml:space="preserve"> manner</w:t>
      </w:r>
      <w:r w:rsidR="00E24966" w:rsidRPr="00E24966">
        <w:t xml:space="preserve">. </w:t>
      </w:r>
    </w:p>
    <w:p w14:paraId="245137FA" w14:textId="05D57CE3" w:rsidR="75828AE8" w:rsidRDefault="00886523" w:rsidP="000C3476">
      <w:pPr>
        <w:spacing w:before="240" w:after="0" w:line="276" w:lineRule="auto"/>
      </w:pPr>
      <w:r>
        <w:lastRenderedPageBreak/>
        <w:t xml:space="preserve">Common themes across many responses included </w:t>
      </w:r>
      <w:r w:rsidRPr="007B2A07">
        <w:t xml:space="preserve">requests for (a) </w:t>
      </w:r>
      <w:r w:rsidR="0016498E" w:rsidRPr="007B2A07">
        <w:t xml:space="preserve">continued stability of service sought from the DSB, </w:t>
      </w:r>
      <w:r w:rsidRPr="007B2A07">
        <w:t xml:space="preserve">(b) </w:t>
      </w:r>
      <w:r w:rsidR="005313B0" w:rsidRPr="007B2A07">
        <w:t xml:space="preserve">a growing focus on obtaining increased efficiencies from user integration with the DSB and </w:t>
      </w:r>
      <w:r w:rsidRPr="007B2A07">
        <w:t>(</w:t>
      </w:r>
      <w:r w:rsidR="00E5507E" w:rsidRPr="007B2A07">
        <w:t>c</w:t>
      </w:r>
      <w:r w:rsidRPr="007B2A07">
        <w:t xml:space="preserve">) </w:t>
      </w:r>
      <w:r w:rsidR="005313B0" w:rsidRPr="007B2A07">
        <w:t xml:space="preserve">a growing focus on cybersecurity. Some users also provided specific comment on amendments sought with respect to the DSB Usage and Access Agreement, a topic to be addressed via </w:t>
      </w:r>
      <w:r w:rsidR="007B2A07" w:rsidRPr="007B2A07">
        <w:t>the legal agreement consultation process.</w:t>
      </w:r>
      <w:r w:rsidR="007B2A07">
        <w:t xml:space="preserve"> </w:t>
      </w:r>
      <w:r>
        <w:t xml:space="preserve"> </w:t>
      </w:r>
      <w:r w:rsidR="004C1563">
        <w:t>A draft DSB Access and Usage Agreement will be published on 19</w:t>
      </w:r>
      <w:r w:rsidR="004C1563" w:rsidRPr="006460C2">
        <w:rPr>
          <w:vertAlign w:val="superscript"/>
        </w:rPr>
        <w:t>th</w:t>
      </w:r>
      <w:r w:rsidR="004C1563">
        <w:t xml:space="preserve"> August 2019</w:t>
      </w:r>
      <w:r w:rsidR="004C1563">
        <w:rPr>
          <w:rStyle w:val="FootnoteReference"/>
        </w:rPr>
        <w:footnoteReference w:id="6"/>
      </w:r>
      <w:r w:rsidR="004C1563">
        <w:t xml:space="preserve"> with proposed amendments anticipated to take affect from 1</w:t>
      </w:r>
      <w:r w:rsidR="004C1563" w:rsidRPr="00763F70">
        <w:rPr>
          <w:vertAlign w:val="superscript"/>
        </w:rPr>
        <w:t>st</w:t>
      </w:r>
      <w:r w:rsidR="004C1563">
        <w:t xml:space="preserve"> January 2020. Users will have the opportunity to engage with the DSB on a bilateral basis to provide their feedback.</w:t>
      </w:r>
      <w:r w:rsidR="0051445E">
        <w:t xml:space="preserve">  </w:t>
      </w:r>
    </w:p>
    <w:p w14:paraId="63821F8F" w14:textId="30C4FA38" w:rsidR="00D36CD8" w:rsidRDefault="002D2490" w:rsidP="00BB1525">
      <w:pPr>
        <w:spacing w:before="240" w:line="276" w:lineRule="auto"/>
      </w:pPr>
      <w:r>
        <w:t xml:space="preserve">This second consultation opens on </w:t>
      </w:r>
      <w:r w:rsidR="00950F83">
        <w:t>5</w:t>
      </w:r>
      <w:r w:rsidR="00950F83" w:rsidRPr="00950F83">
        <w:rPr>
          <w:vertAlign w:val="superscript"/>
        </w:rPr>
        <w:t>th</w:t>
      </w:r>
      <w:r w:rsidR="00950F83">
        <w:t xml:space="preserve"> July </w:t>
      </w:r>
      <w:r>
        <w:t>201</w:t>
      </w:r>
      <w:r w:rsidR="00950F83">
        <w:t>9</w:t>
      </w:r>
      <w:r>
        <w:t xml:space="preserve"> and will close on 2</w:t>
      </w:r>
      <w:r w:rsidR="00950F83">
        <w:t>9</w:t>
      </w:r>
      <w:r w:rsidRPr="00AE3DE2">
        <w:rPr>
          <w:vertAlign w:val="superscript"/>
        </w:rPr>
        <w:t>th</w:t>
      </w:r>
      <w:r w:rsidR="00AE3DE2">
        <w:t xml:space="preserve"> </w:t>
      </w:r>
      <w:r>
        <w:t>July 201</w:t>
      </w:r>
      <w:r w:rsidR="00950F83">
        <w:t>9</w:t>
      </w:r>
      <w:r>
        <w:t xml:space="preserve">, with a final consultation report to be published on </w:t>
      </w:r>
      <w:r w:rsidR="00D4673D">
        <w:t>19</w:t>
      </w:r>
      <w:r w:rsidRPr="00AE3DE2">
        <w:rPr>
          <w:vertAlign w:val="superscript"/>
        </w:rPr>
        <w:t>th</w:t>
      </w:r>
      <w:r w:rsidR="00AE3DE2">
        <w:t xml:space="preserve"> </w:t>
      </w:r>
      <w:r>
        <w:t>August 201</w:t>
      </w:r>
      <w:r w:rsidR="00950F83">
        <w:t>9</w:t>
      </w:r>
      <w:r>
        <w:t>. The first consultation sought to obtain industry views on a broad range of topics arising from user feedback during the prior 12-month period</w:t>
      </w:r>
      <w:r w:rsidR="00D36CD8">
        <w:t>. T</w:t>
      </w:r>
      <w:r>
        <w:t xml:space="preserve">his second consultation </w:t>
      </w:r>
      <w:r w:rsidR="00D36CD8">
        <w:t xml:space="preserve">is </w:t>
      </w:r>
      <w:r>
        <w:t xml:space="preserve">intended to summarize </w:t>
      </w:r>
      <w:r w:rsidR="00ED1777">
        <w:t xml:space="preserve">the </w:t>
      </w:r>
      <w:r>
        <w:t xml:space="preserve">industry responses </w:t>
      </w:r>
      <w:r w:rsidR="00ED1777">
        <w:t>received</w:t>
      </w:r>
      <w:r w:rsidR="00D36CD8">
        <w:t xml:space="preserve"> </w:t>
      </w:r>
      <w:r>
        <w:t xml:space="preserve">and </w:t>
      </w:r>
      <w:r w:rsidR="00D36CD8">
        <w:t xml:space="preserve">to undertake further consultation to determine appetite for enhancing the DSB’s services within the communal cost recovery ring-fence. </w:t>
      </w:r>
    </w:p>
    <w:p w14:paraId="00A0DFCC" w14:textId="0FCE8B73" w:rsidR="00757E71" w:rsidRDefault="00757E71" w:rsidP="00744A14">
      <w:bookmarkStart w:id="10" w:name="_Toc8250278"/>
      <w:r>
        <w:t xml:space="preserve">This consultation paper </w:t>
      </w:r>
      <w:r w:rsidR="00A01DD5">
        <w:t>mirrors the structure of the first consultation paper, with sections focusing on responses received on functionality, data submission enhancements, service levels and cyber-security respectively</w:t>
      </w:r>
      <w:r w:rsidR="00B47FA5">
        <w:t xml:space="preserve">. Each section lists the questions that were asked, the responses and the DSB proposed next steps. Where the proposed next steps will have a cost impact, the associated costs have been itemised </w:t>
      </w:r>
      <w:r w:rsidR="0053097C">
        <w:t>to allow industry to understand the cost</w:t>
      </w:r>
      <w:r w:rsidR="00B47FA5">
        <w:t xml:space="preserve"> / benefit</w:t>
      </w:r>
      <w:r w:rsidR="0053097C">
        <w:t xml:space="preserve">s associated with each proposal and make a determination on next steps. Further information is available in section </w:t>
      </w:r>
      <w:r w:rsidR="0053097C">
        <w:fldChar w:fldCharType="begin"/>
      </w:r>
      <w:r w:rsidR="0053097C">
        <w:instrText xml:space="preserve"> REF _Ref12286158 \r \h </w:instrText>
      </w:r>
      <w:r w:rsidR="0053097C">
        <w:fldChar w:fldCharType="separate"/>
      </w:r>
      <w:r w:rsidR="00272ACD">
        <w:t>5</w:t>
      </w:r>
      <w:r w:rsidR="0053097C">
        <w:fldChar w:fldCharType="end"/>
      </w:r>
      <w:r w:rsidR="0053097C">
        <w:t xml:space="preserve">. </w:t>
      </w:r>
    </w:p>
    <w:p w14:paraId="7F5C23F4" w14:textId="2F0D2FD3" w:rsidR="0017487E" w:rsidRDefault="0017487E" w:rsidP="00D36CD8">
      <w:pPr>
        <w:spacing w:before="240" w:line="276" w:lineRule="auto"/>
      </w:pPr>
      <w:r>
        <w:t xml:space="preserve">All </w:t>
      </w:r>
      <w:r w:rsidR="00D36CD8">
        <w:t>proposal</w:t>
      </w:r>
      <w:r>
        <w:t>s</w:t>
      </w:r>
      <w:r w:rsidR="00D36CD8">
        <w:t xml:space="preserve"> </w:t>
      </w:r>
      <w:r>
        <w:t>assume the DSB will follow its standard governance process for implementation. i.e.</w:t>
      </w:r>
    </w:p>
    <w:p w14:paraId="62D587D8" w14:textId="5018DBFA" w:rsidR="0017487E" w:rsidRDefault="0017487E" w:rsidP="0017487E">
      <w:pPr>
        <w:pStyle w:val="ListParagraph"/>
        <w:numPr>
          <w:ilvl w:val="0"/>
          <w:numId w:val="38"/>
        </w:numPr>
        <w:spacing w:before="240" w:line="276" w:lineRule="auto"/>
      </w:pPr>
      <w:r>
        <w:t>W</w:t>
      </w:r>
      <w:r w:rsidR="00D36CD8">
        <w:t xml:space="preserve">here matters pertain to DSB product templates and associated matters, the DSB will provide appropriate analysis to the </w:t>
      </w:r>
      <w:hyperlink r:id="rId12" w:history="1">
        <w:r w:rsidR="00D36CD8" w:rsidRPr="000D62A4">
          <w:rPr>
            <w:rStyle w:val="Hyperlink"/>
          </w:rPr>
          <w:t>Product Committee</w:t>
        </w:r>
      </w:hyperlink>
      <w:r w:rsidR="00D36CD8">
        <w:t xml:space="preserve"> (PC) to determine prioritization and progress accordingly</w:t>
      </w:r>
      <w:r>
        <w:t>;</w:t>
      </w:r>
      <w:r w:rsidR="00D36CD8">
        <w:t xml:space="preserve"> </w:t>
      </w:r>
    </w:p>
    <w:p w14:paraId="512C7FBD" w14:textId="1691674B" w:rsidR="00D36CD8" w:rsidRPr="00F6246A" w:rsidRDefault="0017487E" w:rsidP="00BB1525">
      <w:pPr>
        <w:pStyle w:val="ListParagraph"/>
        <w:numPr>
          <w:ilvl w:val="0"/>
          <w:numId w:val="38"/>
        </w:numPr>
        <w:spacing w:before="240" w:line="276" w:lineRule="auto"/>
      </w:pPr>
      <w:r>
        <w:t>O</w:t>
      </w:r>
      <w:r w:rsidR="00D36CD8" w:rsidRPr="00F6246A">
        <w:t xml:space="preserve">n matters involving DSB infrastructure, </w:t>
      </w:r>
      <w:r>
        <w:t>workflow</w:t>
      </w:r>
      <w:r w:rsidR="00D36CD8" w:rsidRPr="00F6246A">
        <w:t xml:space="preserve"> and </w:t>
      </w:r>
      <w:r w:rsidR="00D36CD8">
        <w:t>associated matters</w:t>
      </w:r>
      <w:r w:rsidR="00D36CD8" w:rsidRPr="00F6246A">
        <w:t xml:space="preserve">, the DSB will </w:t>
      </w:r>
      <w:r w:rsidR="00D36CD8">
        <w:t xml:space="preserve">provide appropriate analysis to </w:t>
      </w:r>
      <w:r w:rsidR="00D36CD8" w:rsidRPr="00F6246A">
        <w:t xml:space="preserve">the </w:t>
      </w:r>
      <w:hyperlink r:id="rId13" w:history="1">
        <w:r w:rsidR="00D36CD8" w:rsidRPr="009F7A9B">
          <w:rPr>
            <w:rStyle w:val="Hyperlink"/>
          </w:rPr>
          <w:t>Technology Advisory Committee</w:t>
        </w:r>
      </w:hyperlink>
      <w:r w:rsidR="00D36CD8">
        <w:t xml:space="preserve"> (TAC)</w:t>
      </w:r>
      <w:r w:rsidR="00D36CD8" w:rsidRPr="00F6246A">
        <w:t xml:space="preserve"> to obtain their views to ensure that the DSB remains aligned with market feedback as it progresses these items. </w:t>
      </w:r>
    </w:p>
    <w:p w14:paraId="0DA813B1" w14:textId="537C4C4D" w:rsidR="00744A14" w:rsidRDefault="00744A14" w:rsidP="00744A14">
      <w:r>
        <w:t xml:space="preserve">In light of the broad spectrum of institutions utilizing the DSB, it is hoped that a representative set of firms will seek to respond to this consultation. All responses should be submitted to the DSB Secretariat at </w:t>
      </w:r>
      <w:hyperlink r:id="rId14" w:history="1">
        <w:r>
          <w:rPr>
            <w:rStyle w:val="Hyperlink"/>
          </w:rPr>
          <w:t>industry_consultation@anna-dsb.com</w:t>
        </w:r>
      </w:hyperlink>
      <w:r>
        <w:t>  no later than 5pm UTC on Monday 29</w:t>
      </w:r>
      <w:r w:rsidRPr="00744A14">
        <w:rPr>
          <w:vertAlign w:val="superscript"/>
        </w:rPr>
        <w:t>th</w:t>
      </w:r>
      <w:r>
        <w:t xml:space="preserve"> July 2019.</w:t>
      </w:r>
    </w:p>
    <w:p w14:paraId="2182E14F" w14:textId="58D846F7" w:rsidR="001A7952" w:rsidRPr="00744A14" w:rsidRDefault="001A7952" w:rsidP="00744A14">
      <w:pPr>
        <w:sectPr w:rsidR="001A7952" w:rsidRPr="00744A14" w:rsidSect="00D43A65">
          <w:headerReference w:type="default" r:id="rId15"/>
          <w:footerReference w:type="default" r:id="rId16"/>
          <w:headerReference w:type="first" r:id="rId17"/>
          <w:footerReference w:type="first" r:id="rId18"/>
          <w:pgSz w:w="11906" w:h="16838"/>
          <w:pgMar w:top="1440" w:right="1440" w:bottom="1276" w:left="1440" w:header="708" w:footer="708" w:gutter="0"/>
          <w:cols w:space="708"/>
          <w:titlePg/>
          <w:docGrid w:linePitch="360"/>
        </w:sectPr>
      </w:pPr>
      <w:r>
        <w:t xml:space="preserve">An explanatory webinar </w:t>
      </w:r>
      <w:r w:rsidR="00A20FFD">
        <w:t xml:space="preserve">will </w:t>
      </w:r>
      <w:r>
        <w:t>be</w:t>
      </w:r>
      <w:r w:rsidR="00A20FFD">
        <w:t xml:space="preserve"> held a</w:t>
      </w:r>
      <w:r>
        <w:t xml:space="preserve">t </w:t>
      </w:r>
      <w:r w:rsidR="007241F9">
        <w:t>1</w:t>
      </w:r>
      <w:r>
        <w:t>pm U</w:t>
      </w:r>
      <w:r w:rsidR="007241F9">
        <w:t>TC</w:t>
      </w:r>
      <w:r>
        <w:t xml:space="preserve"> </w:t>
      </w:r>
      <w:r w:rsidR="007241F9">
        <w:t xml:space="preserve">(2pm UK, 3pm CET, 9am EST) </w:t>
      </w:r>
      <w:r>
        <w:t>on Thursday 11</w:t>
      </w:r>
      <w:r w:rsidRPr="001A7952">
        <w:rPr>
          <w:vertAlign w:val="superscript"/>
        </w:rPr>
        <w:t>th</w:t>
      </w:r>
      <w:r>
        <w:t xml:space="preserve"> July 2019. All</w:t>
      </w:r>
      <w:r w:rsidR="00C23D81">
        <w:t xml:space="preserve"> </w:t>
      </w:r>
      <w:r>
        <w:t xml:space="preserve">participants are welcome, </w:t>
      </w:r>
      <w:r w:rsidR="00C23D81">
        <w:t xml:space="preserve">with a recording to be made available following the event. Registration is required in advance </w:t>
      </w:r>
      <w:r w:rsidR="00516026">
        <w:t xml:space="preserve">via </w:t>
      </w:r>
      <w:hyperlink r:id="rId19" w:history="1">
        <w:r w:rsidR="00516026" w:rsidRPr="00706C6A">
          <w:rPr>
            <w:rStyle w:val="Hyperlink"/>
          </w:rPr>
          <w:t>this link</w:t>
        </w:r>
      </w:hyperlink>
      <w:r w:rsidR="00ED1777">
        <w:rPr>
          <w:rStyle w:val="FootnoteReference"/>
          <w:color w:val="0563C1" w:themeColor="hyperlink"/>
          <w:u w:val="single"/>
        </w:rPr>
        <w:footnoteReference w:id="7"/>
      </w:r>
      <w:r w:rsidR="00516026">
        <w:t xml:space="preserve">. </w:t>
      </w:r>
    </w:p>
    <w:p w14:paraId="30D0E9D2" w14:textId="6B7286A1" w:rsidR="00265AE8" w:rsidRPr="00AA0FC9" w:rsidRDefault="00265AE8" w:rsidP="00265AE8">
      <w:pPr>
        <w:pStyle w:val="Heading1"/>
        <w:spacing w:after="240" w:line="276" w:lineRule="auto"/>
      </w:pPr>
      <w:bookmarkStart w:id="11" w:name="_Toc13087122"/>
      <w:bookmarkStart w:id="12" w:name="_Toc13157212"/>
      <w:r w:rsidRPr="00AA0FC9">
        <w:lastRenderedPageBreak/>
        <w:t>Consultation Timeline</w:t>
      </w:r>
      <w:bookmarkEnd w:id="10"/>
      <w:bookmarkEnd w:id="11"/>
      <w:bookmarkEnd w:id="12"/>
      <w:r w:rsidRPr="00AA0FC9">
        <w:t xml:space="preserve"> </w:t>
      </w:r>
    </w:p>
    <w:p w14:paraId="7474E964" w14:textId="1D0B6CE5" w:rsidR="00265AE8" w:rsidRDefault="00AA0FC9" w:rsidP="00AA0FC9">
      <w:pPr>
        <w:spacing w:line="276" w:lineRule="auto"/>
        <w:rPr>
          <w:rFonts w:asciiTheme="majorHAnsi" w:eastAsiaTheme="majorEastAsia" w:hAnsiTheme="majorHAnsi" w:cstheme="majorBidi"/>
          <w:color w:val="2E74B5" w:themeColor="accent1" w:themeShade="BF"/>
          <w:sz w:val="32"/>
          <w:szCs w:val="32"/>
        </w:rPr>
      </w:pPr>
      <w:r>
        <w:rPr>
          <w:noProof/>
          <w:lang w:eastAsia="en-GB"/>
        </w:rPr>
        <w:drawing>
          <wp:inline distT="0" distB="0" distL="0" distR="0" wp14:anchorId="3BD3895C" wp14:editId="076ED0F2">
            <wp:extent cx="8705850" cy="500145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713078" cy="5005608"/>
                    </a:xfrm>
                    <a:prstGeom prst="rect">
                      <a:avLst/>
                    </a:prstGeom>
                  </pic:spPr>
                </pic:pic>
              </a:graphicData>
            </a:graphic>
          </wp:inline>
        </w:drawing>
      </w:r>
      <w:r w:rsidR="00265AE8" w:rsidRPr="00296864">
        <w:rPr>
          <w:noProof/>
          <w:lang w:eastAsia="en-GB"/>
        </w:rPr>
        <w:drawing>
          <wp:anchor distT="0" distB="0" distL="114300" distR="114300" simplePos="0" relativeHeight="251405312" behindDoc="0" locked="0" layoutInCell="1" allowOverlap="1" wp14:anchorId="659243C1" wp14:editId="41529ADF">
            <wp:simplePos x="0" y="0"/>
            <wp:positionH relativeFrom="margin">
              <wp:align>left</wp:align>
            </wp:positionH>
            <wp:positionV relativeFrom="margin">
              <wp:posOffset>20490180</wp:posOffset>
            </wp:positionV>
            <wp:extent cx="6123305" cy="35312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23600" cy="3531600"/>
                    </a:xfrm>
                    <a:prstGeom prst="rect">
                      <a:avLst/>
                    </a:prstGeom>
                  </pic:spPr>
                </pic:pic>
              </a:graphicData>
            </a:graphic>
            <wp14:sizeRelH relativeFrom="margin">
              <wp14:pctWidth>0</wp14:pctWidth>
            </wp14:sizeRelH>
            <wp14:sizeRelV relativeFrom="margin">
              <wp14:pctHeight>0</wp14:pctHeight>
            </wp14:sizeRelV>
          </wp:anchor>
        </w:drawing>
      </w:r>
    </w:p>
    <w:p w14:paraId="438455FC" w14:textId="77777777" w:rsidR="001273AF" w:rsidRDefault="001273AF" w:rsidP="00765BA8">
      <w:pPr>
        <w:pStyle w:val="Heading2"/>
        <w:spacing w:line="276" w:lineRule="auto"/>
        <w:sectPr w:rsidR="001273AF" w:rsidSect="001273AF">
          <w:pgSz w:w="16838" w:h="11906" w:orient="landscape"/>
          <w:pgMar w:top="1440" w:right="1440" w:bottom="1440" w:left="1276" w:header="708" w:footer="708" w:gutter="0"/>
          <w:cols w:space="708"/>
          <w:titlePg/>
          <w:docGrid w:linePitch="360"/>
        </w:sectPr>
      </w:pPr>
      <w:bookmarkStart w:id="13" w:name="_Toc517783476"/>
    </w:p>
    <w:p w14:paraId="7D5079E2" w14:textId="4D655540" w:rsidR="008F2F1E" w:rsidRPr="005B7C39" w:rsidRDefault="008F2F1E" w:rsidP="005B7C39">
      <w:pPr>
        <w:pStyle w:val="Heading1"/>
        <w:spacing w:after="240" w:line="276" w:lineRule="auto"/>
      </w:pPr>
      <w:bookmarkStart w:id="14" w:name="_Toc13087123"/>
      <w:bookmarkStart w:id="15" w:name="_Toc13157213"/>
      <w:r w:rsidRPr="005B7C39">
        <w:lastRenderedPageBreak/>
        <w:t>Principles</w:t>
      </w:r>
      <w:bookmarkEnd w:id="13"/>
      <w:bookmarkEnd w:id="14"/>
      <w:bookmarkEnd w:id="15"/>
    </w:p>
    <w:p w14:paraId="1360C200" w14:textId="77777777" w:rsidR="00F7309E" w:rsidRDefault="00F7309E" w:rsidP="00765BA8">
      <w:pPr>
        <w:spacing w:line="276" w:lineRule="auto"/>
      </w:pPr>
      <w:r>
        <w:t>Below is a table with a brief statement</w:t>
      </w:r>
      <w:r w:rsidR="005048F6">
        <w:t xml:space="preserve"> on </w:t>
      </w:r>
      <w:r>
        <w:t xml:space="preserve">the four </w:t>
      </w:r>
      <w:r w:rsidR="000C3476">
        <w:t xml:space="preserve">key </w:t>
      </w:r>
      <w:r>
        <w:t xml:space="preserve">principles </w:t>
      </w:r>
      <w:r w:rsidR="000C3476">
        <w:t>relied on by the DSB in development of t</w:t>
      </w:r>
      <w:r>
        <w:t xml:space="preserve">he fee model.  </w:t>
      </w:r>
    </w:p>
    <w:tbl>
      <w:tblPr>
        <w:tblStyle w:val="GridTable5Dark-Accent1"/>
        <w:tblW w:w="0" w:type="auto"/>
        <w:tblLook w:val="04A0" w:firstRow="1" w:lastRow="0" w:firstColumn="1" w:lastColumn="0" w:noHBand="0" w:noVBand="1"/>
      </w:tblPr>
      <w:tblGrid>
        <w:gridCol w:w="1361"/>
        <w:gridCol w:w="7655"/>
      </w:tblGrid>
      <w:tr w:rsidR="00DD2F8E" w:rsidRPr="004965E9" w14:paraId="70A2C047" w14:textId="77777777" w:rsidTr="007860E1">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6E9B7D1" w14:textId="77777777" w:rsidR="00DD2F8E" w:rsidRPr="004965E9" w:rsidRDefault="00DD2F8E" w:rsidP="007860E1">
            <w:pPr>
              <w:spacing w:after="120" w:line="276" w:lineRule="auto"/>
              <w:textAlignment w:val="baseline"/>
              <w:rPr>
                <w:rFonts w:eastAsia="Times New Roman" w:cstheme="minorHAnsi"/>
                <w:b w:val="0"/>
                <w:bCs w:val="0"/>
                <w:color w:val="FFFFFF"/>
                <w:lang w:val="en-GB" w:eastAsia="en-GB"/>
              </w:rPr>
            </w:pPr>
            <w:r w:rsidRPr="004965E9">
              <w:rPr>
                <w:rFonts w:eastAsia="Times New Roman" w:cstheme="minorHAnsi"/>
                <w:color w:val="FFFFFF"/>
                <w:lang w:val="en-GB" w:eastAsia="en-GB"/>
              </w:rPr>
              <w:t>Principle </w:t>
            </w:r>
          </w:p>
        </w:tc>
        <w:tc>
          <w:tcPr>
            <w:tcW w:w="7729" w:type="dxa"/>
            <w:vAlign w:val="center"/>
            <w:hideMark/>
          </w:tcPr>
          <w:p w14:paraId="2F3DCB08" w14:textId="77777777" w:rsidR="00DD2F8E" w:rsidRPr="004965E9" w:rsidRDefault="00DD2F8E" w:rsidP="007860E1">
            <w:pPr>
              <w:spacing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4965E9">
              <w:rPr>
                <w:rFonts w:eastAsia="Times New Roman" w:cstheme="minorHAnsi"/>
                <w:color w:val="FFFFFF"/>
                <w:lang w:val="en-GB" w:eastAsia="en-GB"/>
              </w:rPr>
              <w:t>Brief Description </w:t>
            </w:r>
          </w:p>
        </w:tc>
      </w:tr>
      <w:tr w:rsidR="00DD2F8E" w:rsidRPr="004965E9" w14:paraId="76B91DA2" w14:textId="77777777" w:rsidTr="00BE333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EB763D9" w14:textId="77777777" w:rsidR="00DD2F8E" w:rsidRPr="004965E9" w:rsidRDefault="00DD2F8E" w:rsidP="007860E1">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Cost Recovery </w:t>
            </w:r>
          </w:p>
        </w:tc>
        <w:tc>
          <w:tcPr>
            <w:tcW w:w="7729" w:type="dxa"/>
            <w:shd w:val="clear" w:color="auto" w:fill="auto"/>
            <w:vAlign w:val="center"/>
            <w:hideMark/>
          </w:tcPr>
          <w:p w14:paraId="4C7E3FA4" w14:textId="77777777" w:rsidR="00DD2F8E" w:rsidRPr="004965E9" w:rsidRDefault="00DD2F8E" w:rsidP="007860E1">
            <w:pPr>
              <w:spacing w:before="24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will provide all numbering agency services on a cost recovery basis. </w:t>
            </w:r>
          </w:p>
          <w:p w14:paraId="225C5F2E" w14:textId="77777777" w:rsidR="00DD2F8E" w:rsidRPr="004965E9" w:rsidRDefault="00DD2F8E" w:rsidP="007860E1">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From the DSB’s perspective, this means that the revenues must be sufficient to ensure that the numbering agency has the financial viability to meet its continuing obligation to provide these services. </w:t>
            </w:r>
          </w:p>
          <w:p w14:paraId="4CBC3111" w14:textId="77777777" w:rsidR="00DD2F8E" w:rsidRPr="004965E9" w:rsidRDefault="00DD2F8E" w:rsidP="007860E1">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From the user perspective, it means that the payment for these services does not profit the owners of the utility beyond its maintenance as a financially viable entity.  </w:t>
            </w:r>
          </w:p>
          <w:p w14:paraId="6AB32C58" w14:textId="77777777" w:rsidR="00DD2F8E" w:rsidRPr="004965E9" w:rsidRDefault="00DD2F8E" w:rsidP="007860E1">
            <w:pPr>
              <w:spacing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Furthermore, the funding model needs to be sustainable, which includes the need to be efficient and reliable.  </w:t>
            </w:r>
          </w:p>
        </w:tc>
      </w:tr>
      <w:tr w:rsidR="00DD2F8E" w:rsidRPr="004965E9" w14:paraId="43E3DD09" w14:textId="77777777" w:rsidTr="007860E1">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36B2BEBF" w14:textId="77777777" w:rsidR="00DD2F8E" w:rsidRPr="004965E9" w:rsidRDefault="00DD2F8E" w:rsidP="007860E1">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Unrestricted Data </w:t>
            </w:r>
          </w:p>
        </w:tc>
        <w:tc>
          <w:tcPr>
            <w:tcW w:w="7729" w:type="dxa"/>
            <w:vAlign w:val="center"/>
            <w:hideMark/>
          </w:tcPr>
          <w:p w14:paraId="024C78A3" w14:textId="77777777" w:rsidR="00DD2F8E" w:rsidRPr="004965E9" w:rsidRDefault="00DD2F8E" w:rsidP="007860E1">
            <w:pPr>
              <w:spacing w:before="24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The DSB intends that no data associated with the definition of an ISIN will have licensing restrictions dictating usage or distribution.  </w:t>
            </w:r>
          </w:p>
          <w:p w14:paraId="4ABCB11F" w14:textId="77777777" w:rsidR="00DD2F8E" w:rsidRPr="004965E9" w:rsidRDefault="00DD2F8E" w:rsidP="007860E1">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If the DSB Product Committee (</w:t>
            </w:r>
            <w:hyperlink r:id="rId22" w:tgtFrame="_blank" w:history="1">
              <w:r w:rsidRPr="004965E9">
                <w:rPr>
                  <w:rFonts w:eastAsia="Times New Roman" w:cstheme="minorHAnsi"/>
                  <w:color w:val="0563C1"/>
                  <w:u w:val="single"/>
                  <w:lang w:val="en-GB" w:eastAsia="en-GB"/>
                </w:rPr>
                <w:t>http://www.anna-web.org/dsb-product-committee/</w:t>
              </w:r>
            </w:hyperlink>
            <w:r w:rsidRPr="004965E9">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DD2F8E" w:rsidRPr="004965E9" w14:paraId="3A52525E" w14:textId="77777777" w:rsidTr="00BE3334">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7A38CE5" w14:textId="77777777" w:rsidR="00DD2F8E" w:rsidRPr="004965E9" w:rsidRDefault="00DD2F8E" w:rsidP="007860E1">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Open Access </w:t>
            </w:r>
          </w:p>
        </w:tc>
        <w:tc>
          <w:tcPr>
            <w:tcW w:w="7729" w:type="dxa"/>
            <w:shd w:val="clear" w:color="auto" w:fill="auto"/>
            <w:vAlign w:val="center"/>
            <w:hideMark/>
          </w:tcPr>
          <w:p w14:paraId="7860F2DF" w14:textId="77777777" w:rsidR="00DD2F8E" w:rsidRPr="004965E9" w:rsidRDefault="00DD2F8E" w:rsidP="007860E1">
            <w:pPr>
              <w:spacing w:before="240" w:after="12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Access to the DSB archive for consumption of OTC derivative ISINs and associated reference data will be available to all organizations and users. </w:t>
            </w:r>
          </w:p>
        </w:tc>
      </w:tr>
      <w:tr w:rsidR="00DD2F8E" w:rsidRPr="004965E9" w14:paraId="7F709E24" w14:textId="77777777" w:rsidTr="007860E1">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032EB5A5" w14:textId="77777777" w:rsidR="00DD2F8E" w:rsidRPr="004965E9" w:rsidRDefault="00DD2F8E" w:rsidP="007860E1">
            <w:pPr>
              <w:spacing w:after="120" w:line="276" w:lineRule="auto"/>
              <w:textAlignment w:val="baseline"/>
              <w:rPr>
                <w:rFonts w:eastAsia="Times New Roman" w:cstheme="minorHAnsi"/>
                <w:lang w:val="en-GB" w:eastAsia="en-GB"/>
              </w:rPr>
            </w:pPr>
            <w:r w:rsidRPr="004965E9">
              <w:rPr>
                <w:rFonts w:eastAsia="Times New Roman" w:cstheme="minorHAnsi"/>
                <w:lang w:val="en-GB" w:eastAsia="en-GB"/>
              </w:rPr>
              <w:t>Payment in Advance </w:t>
            </w:r>
          </w:p>
        </w:tc>
        <w:tc>
          <w:tcPr>
            <w:tcW w:w="7729" w:type="dxa"/>
            <w:vAlign w:val="center"/>
            <w:hideMark/>
          </w:tcPr>
          <w:p w14:paraId="31FB3816" w14:textId="77777777" w:rsidR="00DD2F8E" w:rsidRPr="004965E9" w:rsidRDefault="00DD2F8E" w:rsidP="007860E1">
            <w:pPr>
              <w:spacing w:before="240"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To the extent possible, the DSB will levy fees through annual contracts that require payment in advance.  </w:t>
            </w:r>
          </w:p>
          <w:p w14:paraId="0DA35FDE" w14:textId="77777777" w:rsidR="00DD2F8E" w:rsidRPr="004965E9" w:rsidRDefault="00DD2F8E" w:rsidP="007860E1">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This advance yearly commitment offers the DSB more clarity in aligning fee levels with cost recovery.  </w:t>
            </w:r>
          </w:p>
          <w:p w14:paraId="4FA170C9" w14:textId="77777777" w:rsidR="00DD2F8E" w:rsidRPr="004965E9" w:rsidRDefault="00DD2F8E" w:rsidP="007860E1">
            <w:pPr>
              <w:spacing w:after="12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4965E9">
              <w:rPr>
                <w:rFonts w:eastAsia="Times New Roman" w:cstheme="minorHAnsi"/>
                <w:lang w:val="en-GB" w:eastAsia="en-GB"/>
              </w:rPr>
              <w:t>For the users, it provides improved ability to forecast their costs for utilising ISIN services </w:t>
            </w:r>
          </w:p>
        </w:tc>
      </w:tr>
    </w:tbl>
    <w:p w14:paraId="0E2B578C" w14:textId="77777777" w:rsidR="002E6BEE" w:rsidRDefault="002E6BEE" w:rsidP="00765BA8">
      <w:pPr>
        <w:spacing w:line="276" w:lineRule="auto"/>
      </w:pPr>
    </w:p>
    <w:p w14:paraId="2FCA4D88" w14:textId="77777777" w:rsidR="004364A5" w:rsidRDefault="004364A5" w:rsidP="001D1C1B">
      <w:pPr>
        <w:spacing w:line="276" w:lineRule="auto"/>
        <w:rPr>
          <w:rFonts w:asciiTheme="majorHAnsi" w:eastAsiaTheme="majorEastAsia" w:hAnsiTheme="majorHAnsi" w:cstheme="majorBidi"/>
          <w:color w:val="2E74B5" w:themeColor="accent1" w:themeShade="BF"/>
          <w:sz w:val="26"/>
          <w:szCs w:val="26"/>
        </w:rPr>
      </w:pPr>
      <w:r>
        <w:br w:type="page"/>
      </w:r>
    </w:p>
    <w:p w14:paraId="7F0D32AB" w14:textId="77777777" w:rsidR="0075007B" w:rsidRDefault="006026A0" w:rsidP="005018E7">
      <w:pPr>
        <w:pStyle w:val="Heading1"/>
        <w:spacing w:after="240" w:line="276" w:lineRule="auto"/>
      </w:pPr>
      <w:bookmarkStart w:id="16" w:name="_Toc517783477"/>
      <w:bookmarkStart w:id="17" w:name="_Ref12286158"/>
      <w:bookmarkStart w:id="18" w:name="_Toc13087124"/>
      <w:bookmarkStart w:id="19" w:name="_Toc13157214"/>
      <w:r>
        <w:lastRenderedPageBreak/>
        <w:t xml:space="preserve">Response </w:t>
      </w:r>
      <w:r w:rsidR="0075007B">
        <w:t>Highlights</w:t>
      </w:r>
      <w:bookmarkEnd w:id="16"/>
      <w:bookmarkEnd w:id="17"/>
      <w:bookmarkEnd w:id="18"/>
      <w:bookmarkEnd w:id="19"/>
      <w:r w:rsidR="00B0732E">
        <w:t xml:space="preserve"> </w:t>
      </w:r>
    </w:p>
    <w:p w14:paraId="60EDC471" w14:textId="55CD1631" w:rsidR="00CC2C95" w:rsidRDefault="00CC2C95" w:rsidP="00DA7FD4">
      <w:r>
        <w:t>A reminder of the key questions posed, and an accompanying summary of responses is set out below, followed by</w:t>
      </w:r>
      <w:r w:rsidR="007476B2">
        <w:t xml:space="preserve"> a summary of feedback received, DSB </w:t>
      </w:r>
      <w:r w:rsidR="0017487E">
        <w:t>analysis of the feedback and the DSB’s proposed next steps</w:t>
      </w:r>
      <w:r>
        <w:t xml:space="preserve">. For ease of reference, a summary of all open questions is provided in </w:t>
      </w:r>
      <w:hyperlink w:anchor="_Appendix_3_-" w:history="1">
        <w:r w:rsidR="00EF7CDB">
          <w:rPr>
            <w:rStyle w:val="Hyperlink"/>
          </w:rPr>
          <w:t>A</w:t>
        </w:r>
        <w:r w:rsidR="00572120" w:rsidRPr="00572120">
          <w:rPr>
            <w:rStyle w:val="Hyperlink"/>
          </w:rPr>
          <w:t>ppendix 3</w:t>
        </w:r>
      </w:hyperlink>
      <w:r w:rsidR="00572120">
        <w:t xml:space="preserve"> </w:t>
      </w:r>
      <w:r>
        <w:t xml:space="preserve">of this document. </w:t>
      </w:r>
    </w:p>
    <w:p w14:paraId="57BD670D" w14:textId="0A51744D" w:rsidR="002C28CF" w:rsidRDefault="00CC79AA" w:rsidP="00CC79AA">
      <w:r>
        <w:t xml:space="preserve">The first consultation document sought to obtain industry feedback on a total of </w:t>
      </w:r>
      <w:r w:rsidR="0086423E">
        <w:t>2</w:t>
      </w:r>
      <w:r w:rsidR="00430355">
        <w:t>5</w:t>
      </w:r>
      <w:r w:rsidR="0086423E">
        <w:t xml:space="preserve"> </w:t>
      </w:r>
      <w:r w:rsidR="009E6374">
        <w:t xml:space="preserve">potential changes to the service, based on </w:t>
      </w:r>
      <w:r w:rsidR="00EF7CDB">
        <w:t xml:space="preserve">user feedback </w:t>
      </w:r>
      <w:r w:rsidR="009E6374">
        <w:t xml:space="preserve">received </w:t>
      </w:r>
      <w:r w:rsidR="00EF7CDB">
        <w:t xml:space="preserve">during the </w:t>
      </w:r>
      <w:r w:rsidR="009E6374">
        <w:t>past 12 months</w:t>
      </w:r>
      <w:r>
        <w:t xml:space="preserve">. </w:t>
      </w:r>
      <w:r w:rsidR="009E6374">
        <w:t xml:space="preserve">The breakdown of the </w:t>
      </w:r>
      <w:r w:rsidR="0086423E">
        <w:t>2</w:t>
      </w:r>
      <w:r w:rsidR="00430355">
        <w:t>5</w:t>
      </w:r>
      <w:r w:rsidR="0086423E">
        <w:t xml:space="preserve"> </w:t>
      </w:r>
      <w:r w:rsidR="009E6374">
        <w:t>items is shown below, with full details in subsequent sections.</w:t>
      </w:r>
      <w:r w:rsidR="00805CBA">
        <w:t xml:space="preserve"> </w:t>
      </w:r>
    </w:p>
    <w:p w14:paraId="6365D7E3" w14:textId="2351B69E" w:rsidR="00334FF4" w:rsidRDefault="00483915" w:rsidP="00CC79AA">
      <w:r>
        <w:t xml:space="preserve">This second consultation proposes to take </w:t>
      </w:r>
      <w:r w:rsidR="0086423E">
        <w:t xml:space="preserve">20 of </w:t>
      </w:r>
      <w:r>
        <w:t xml:space="preserve">the potential changes </w:t>
      </w:r>
      <w:r w:rsidR="007B7F72">
        <w:t xml:space="preserve">forward. </w:t>
      </w:r>
      <w:r w:rsidR="00430355">
        <w:t>10</w:t>
      </w:r>
      <w:r w:rsidR="007B7F72">
        <w:t xml:space="preserve"> of the potential changes have no impact on the DSB’s cost base </w:t>
      </w:r>
      <w:r w:rsidR="003E41A8">
        <w:t>as they are proposed to be undertaken on a business as usual basis (BAU)</w:t>
      </w:r>
      <w:r w:rsidR="00B054C1">
        <w:t>, subject to prioritisation by the PC and the TAC,</w:t>
      </w:r>
      <w:r w:rsidR="003E41A8">
        <w:t xml:space="preserve"> </w:t>
      </w:r>
      <w:r w:rsidR="007B7F72">
        <w:t>and 1</w:t>
      </w:r>
      <w:r w:rsidR="00430355">
        <w:t>0</w:t>
      </w:r>
      <w:r w:rsidR="007B7F72">
        <w:t xml:space="preserve"> of the potential changes will incur incremental costs if industry were to support their implementation. </w:t>
      </w:r>
    </w:p>
    <w:p w14:paraId="3E67C4DF" w14:textId="3D50E966" w:rsidR="00483915" w:rsidRDefault="00483915" w:rsidP="00CC79AA">
      <w:r>
        <w:t>The</w:t>
      </w:r>
      <w:r w:rsidR="00BE053F">
        <w:t xml:space="preserve"> table below provides a summary of the costs with further breakdown provided in subsequent sections. The total </w:t>
      </w:r>
      <w:r>
        <w:t xml:space="preserve">costs </w:t>
      </w:r>
      <w:r w:rsidR="00BE053F">
        <w:t xml:space="preserve">shown in the table </w:t>
      </w:r>
      <w:r>
        <w:t xml:space="preserve">will only be incurred if </w:t>
      </w:r>
      <w:r w:rsidR="00BE053F" w:rsidRPr="00552A97">
        <w:rPr>
          <w:u w:val="single"/>
        </w:rPr>
        <w:t>all</w:t>
      </w:r>
      <w:r w:rsidR="00BE053F">
        <w:t xml:space="preserve"> the </w:t>
      </w:r>
      <w:r>
        <w:t xml:space="preserve">proposed changes are supported by industry as part of this consultation and therefore </w:t>
      </w:r>
      <w:r w:rsidR="0086423E">
        <w:t xml:space="preserve">the </w:t>
      </w:r>
      <w:r>
        <w:t xml:space="preserve">actual cost impact may be smaller or </w:t>
      </w:r>
      <w:r w:rsidR="003A4276">
        <w:t>zero</w:t>
      </w:r>
      <w:r>
        <w:t xml:space="preserve">, </w:t>
      </w:r>
      <w:r w:rsidR="003A4276">
        <w:t xml:space="preserve">subject to </w:t>
      </w:r>
      <w:r>
        <w:t xml:space="preserve">industry </w:t>
      </w:r>
      <w:r w:rsidR="00BE053F">
        <w:t xml:space="preserve">feedback on this </w:t>
      </w:r>
      <w:r w:rsidR="003A4276">
        <w:t xml:space="preserve">second </w:t>
      </w:r>
      <w:r w:rsidR="00BE053F">
        <w:t>consultation</w:t>
      </w:r>
      <w:r>
        <w:t>.</w:t>
      </w:r>
      <w:r w:rsidR="00643A34">
        <w:t xml:space="preserve"> </w:t>
      </w:r>
    </w:p>
    <w:p w14:paraId="5BB5FFAC" w14:textId="0EA71238" w:rsidR="00B60EB6" w:rsidRDefault="00B60EB6" w:rsidP="00CC79AA">
      <w:r>
        <w:t>As a point of comparison, the 2019 DSB budgeted cost base is €9.</w:t>
      </w:r>
      <w:r w:rsidR="00F10D3F">
        <w:t>14</w:t>
      </w:r>
      <w:r>
        <w:t>m</w:t>
      </w:r>
      <w:r w:rsidR="00A861B3">
        <w:t xml:space="preserve">, with details in </w:t>
      </w:r>
      <w:r w:rsidR="00F8328E">
        <w:t>section</w:t>
      </w:r>
      <w:r w:rsidR="00A861B3">
        <w:t xml:space="preserve"> </w:t>
      </w:r>
      <w:r w:rsidR="00A861B3">
        <w:fldChar w:fldCharType="begin"/>
      </w:r>
      <w:r w:rsidR="00A861B3">
        <w:instrText xml:space="preserve"> REF _Ref13046361 \r \h </w:instrText>
      </w:r>
      <w:r w:rsidR="00A861B3">
        <w:fldChar w:fldCharType="separate"/>
      </w:r>
      <w:r w:rsidR="00A861B3">
        <w:t>7.1</w:t>
      </w:r>
      <w:r w:rsidR="00A861B3">
        <w:fldChar w:fldCharType="end"/>
      </w:r>
      <w:r>
        <w:t>.</w:t>
      </w:r>
    </w:p>
    <w:tbl>
      <w:tblPr>
        <w:tblStyle w:val="GridTable5Dark-Accent1"/>
        <w:tblW w:w="0" w:type="auto"/>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419"/>
        <w:gridCol w:w="1027"/>
        <w:gridCol w:w="1539"/>
        <w:gridCol w:w="1008"/>
        <w:gridCol w:w="3791"/>
      </w:tblGrid>
      <w:tr w:rsidR="009A0FB8" w:rsidRPr="00FB53D1" w14:paraId="70A62626" w14:textId="38992090" w:rsidTr="001B5E20">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436CC61E" w14:textId="31F367F0" w:rsidR="009A0FB8" w:rsidRPr="00FB53D1" w:rsidRDefault="009A0FB8" w:rsidP="00552A97">
            <w:pPr>
              <w:spacing w:beforeLines="20" w:before="48" w:afterLines="20" w:after="48" w:line="276" w:lineRule="auto"/>
              <w:rPr>
                <w:rFonts w:cstheme="minorHAnsi"/>
                <w:sz w:val="20"/>
                <w:szCs w:val="20"/>
              </w:rPr>
            </w:pPr>
            <w:r w:rsidRPr="00FB53D1">
              <w:rPr>
                <w:rFonts w:cstheme="minorHAnsi"/>
                <w:sz w:val="20"/>
                <w:szCs w:val="20"/>
              </w:rPr>
              <w:t>CATEGORY</w:t>
            </w:r>
          </w:p>
        </w:tc>
        <w:tc>
          <w:tcPr>
            <w:tcW w:w="1027" w:type="dxa"/>
            <w:vAlign w:val="center"/>
          </w:tcPr>
          <w:p w14:paraId="3EF933A2" w14:textId="2D15905B" w:rsidR="009A0FB8" w:rsidRPr="00FB53D1" w:rsidRDefault="009A0FB8" w:rsidP="00552A97">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DROPPED</w:t>
            </w:r>
          </w:p>
        </w:tc>
        <w:tc>
          <w:tcPr>
            <w:tcW w:w="1539" w:type="dxa"/>
            <w:vAlign w:val="center"/>
          </w:tcPr>
          <w:p w14:paraId="18FF58C8" w14:textId="5D1FF9B0" w:rsidR="009A0FB8" w:rsidRPr="00FB53D1" w:rsidRDefault="009A0FB8" w:rsidP="00552A97">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FURTHER CONSULTATION</w:t>
            </w:r>
          </w:p>
        </w:tc>
        <w:tc>
          <w:tcPr>
            <w:tcW w:w="1008" w:type="dxa"/>
            <w:vAlign w:val="center"/>
          </w:tcPr>
          <w:p w14:paraId="793E934F" w14:textId="264886AF" w:rsidR="009A0FB8" w:rsidRPr="00FB53D1" w:rsidRDefault="009A0FB8" w:rsidP="00552A97">
            <w:pPr>
              <w:spacing w:beforeLines="20" w:before="48" w:afterLines="20" w:after="48"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TOTAL</w:t>
            </w:r>
          </w:p>
        </w:tc>
        <w:tc>
          <w:tcPr>
            <w:tcW w:w="3791" w:type="dxa"/>
            <w:vAlign w:val="center"/>
          </w:tcPr>
          <w:p w14:paraId="65830F93" w14:textId="3015ADF8" w:rsidR="009A0FB8" w:rsidRPr="00FB53D1" w:rsidRDefault="009A0FB8" w:rsidP="00552A97">
            <w:pPr>
              <w:spacing w:beforeLines="20" w:before="48" w:afterLines="20" w:after="48"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COST IMPACT</w:t>
            </w:r>
          </w:p>
        </w:tc>
      </w:tr>
      <w:tr w:rsidR="009A0FB8" w:rsidRPr="00FB53D1" w14:paraId="7CE30C08" w14:textId="6FF95D61" w:rsidTr="001B5E2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311261BD" w14:textId="4EEB3C9C" w:rsidR="009A0FB8" w:rsidRPr="00FB53D1" w:rsidRDefault="009A0FB8" w:rsidP="00552A97">
            <w:pPr>
              <w:spacing w:beforeLines="20" w:before="48" w:afterLines="20" w:after="48" w:line="276" w:lineRule="auto"/>
              <w:rPr>
                <w:rFonts w:cstheme="minorHAnsi"/>
                <w:b w:val="0"/>
                <w:sz w:val="20"/>
                <w:szCs w:val="20"/>
              </w:rPr>
            </w:pPr>
            <w:r w:rsidRPr="00FB53D1">
              <w:rPr>
                <w:rFonts w:cstheme="minorHAnsi"/>
                <w:b w:val="0"/>
                <w:sz w:val="20"/>
                <w:szCs w:val="20"/>
              </w:rPr>
              <w:t>Functionality</w:t>
            </w:r>
          </w:p>
        </w:tc>
        <w:tc>
          <w:tcPr>
            <w:tcW w:w="1027" w:type="dxa"/>
            <w:shd w:val="clear" w:color="auto" w:fill="auto"/>
            <w:vAlign w:val="center"/>
          </w:tcPr>
          <w:p w14:paraId="0A3E4C7E" w14:textId="5FD268A5"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0</w:t>
            </w:r>
          </w:p>
        </w:tc>
        <w:tc>
          <w:tcPr>
            <w:tcW w:w="1539" w:type="dxa"/>
            <w:shd w:val="clear" w:color="auto" w:fill="auto"/>
            <w:vAlign w:val="center"/>
          </w:tcPr>
          <w:p w14:paraId="20234943" w14:textId="78D3EAAA"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6</w:t>
            </w:r>
          </w:p>
        </w:tc>
        <w:tc>
          <w:tcPr>
            <w:tcW w:w="1008" w:type="dxa"/>
            <w:shd w:val="clear" w:color="auto" w:fill="auto"/>
            <w:vAlign w:val="center"/>
          </w:tcPr>
          <w:p w14:paraId="3F17534A" w14:textId="4421D5EC"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B53D1">
              <w:rPr>
                <w:rFonts w:cstheme="minorHAnsi"/>
                <w:b/>
                <w:sz w:val="20"/>
                <w:szCs w:val="20"/>
              </w:rPr>
              <w:t>6</w:t>
            </w:r>
          </w:p>
        </w:tc>
        <w:tc>
          <w:tcPr>
            <w:tcW w:w="3791" w:type="dxa"/>
            <w:shd w:val="clear" w:color="auto" w:fill="auto"/>
            <w:vAlign w:val="center"/>
          </w:tcPr>
          <w:p w14:paraId="7149ACB0" w14:textId="3A83B415" w:rsidR="009A0FB8" w:rsidRPr="00FB53D1" w:rsidRDefault="009A0FB8"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 xml:space="preserve">2020: </w:t>
            </w:r>
            <w:r w:rsidRPr="00FB53D1">
              <w:rPr>
                <w:rFonts w:eastAsia="Times New Roman" w:cstheme="minorHAnsi"/>
                <w:color w:val="000000"/>
                <w:sz w:val="20"/>
                <w:szCs w:val="20"/>
                <w:lang w:eastAsia="en-GB"/>
              </w:rPr>
              <w:tab/>
            </w:r>
            <w:proofErr w:type="gramStart"/>
            <w:r w:rsidRPr="00FB53D1">
              <w:rPr>
                <w:rFonts w:eastAsia="Times New Roman" w:cstheme="minorHAnsi"/>
                <w:color w:val="000000"/>
                <w:sz w:val="20"/>
                <w:szCs w:val="20"/>
                <w:lang w:eastAsia="en-GB"/>
              </w:rPr>
              <w:t>€</w:t>
            </w:r>
            <w:r w:rsidR="009E4F4B" w:rsidRPr="00FB53D1">
              <w:rPr>
                <w:rFonts w:eastAsia="Times New Roman" w:cstheme="minorHAnsi"/>
                <w:color w:val="000000"/>
                <w:sz w:val="20"/>
                <w:szCs w:val="20"/>
                <w:lang w:eastAsia="en-GB"/>
              </w:rPr>
              <w:t xml:space="preserve">  </w:t>
            </w:r>
            <w:r w:rsidRPr="00FB53D1">
              <w:rPr>
                <w:rFonts w:eastAsia="Times New Roman" w:cstheme="minorHAnsi"/>
                <w:color w:val="000000"/>
                <w:sz w:val="20"/>
                <w:szCs w:val="20"/>
                <w:lang w:eastAsia="en-GB"/>
              </w:rPr>
              <w:t>30</w:t>
            </w:r>
            <w:proofErr w:type="gramEnd"/>
            <w:r w:rsidRPr="00FB53D1">
              <w:rPr>
                <w:rFonts w:eastAsia="Times New Roman" w:cstheme="minorHAnsi"/>
                <w:color w:val="000000"/>
                <w:sz w:val="20"/>
                <w:szCs w:val="20"/>
                <w:lang w:eastAsia="en-GB"/>
              </w:rPr>
              <w:t>K</w:t>
            </w:r>
          </w:p>
          <w:p w14:paraId="462547CA" w14:textId="0494D4A9" w:rsidR="009A0FB8" w:rsidRPr="00FB53D1" w:rsidRDefault="009A0FB8"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2021-2024:</w:t>
            </w:r>
            <w:r w:rsidRPr="00FB53D1">
              <w:rPr>
                <w:rFonts w:eastAsia="Times New Roman" w:cstheme="minorHAnsi"/>
                <w:color w:val="000000"/>
                <w:sz w:val="20"/>
                <w:szCs w:val="20"/>
                <w:lang w:eastAsia="en-GB"/>
              </w:rPr>
              <w:tab/>
              <w:t>€3</w:t>
            </w:r>
            <w:r w:rsidR="001C11C7">
              <w:rPr>
                <w:rFonts w:eastAsia="Times New Roman" w:cstheme="minorHAnsi"/>
                <w:color w:val="000000"/>
                <w:sz w:val="20"/>
                <w:szCs w:val="20"/>
                <w:lang w:eastAsia="en-GB"/>
              </w:rPr>
              <w:t>6</w:t>
            </w:r>
            <w:r w:rsidRPr="00FB53D1">
              <w:rPr>
                <w:rFonts w:eastAsia="Times New Roman" w:cstheme="minorHAnsi"/>
                <w:color w:val="000000"/>
                <w:sz w:val="20"/>
                <w:szCs w:val="20"/>
                <w:lang w:eastAsia="en-GB"/>
              </w:rPr>
              <w:t>5K</w:t>
            </w:r>
            <w:r w:rsidR="00867F15" w:rsidRPr="00FB53D1">
              <w:rPr>
                <w:rFonts w:eastAsia="Times New Roman" w:cstheme="minorHAnsi"/>
                <w:color w:val="000000"/>
                <w:sz w:val="20"/>
                <w:szCs w:val="20"/>
                <w:lang w:eastAsia="en-GB"/>
              </w:rPr>
              <w:t xml:space="preserve"> pa</w:t>
            </w:r>
          </w:p>
          <w:p w14:paraId="4C80506B" w14:textId="44240356" w:rsidR="009A0FB8" w:rsidRPr="00FB53D1" w:rsidRDefault="009A0FB8" w:rsidP="001C11C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FB53D1">
              <w:rPr>
                <w:rFonts w:eastAsia="Times New Roman" w:cstheme="minorHAnsi"/>
                <w:color w:val="000000"/>
                <w:sz w:val="20"/>
                <w:szCs w:val="20"/>
                <w:lang w:eastAsia="en-GB"/>
              </w:rPr>
              <w:t>2025-:</w:t>
            </w:r>
            <w:r w:rsidRPr="00FB53D1">
              <w:rPr>
                <w:rFonts w:eastAsia="Times New Roman" w:cstheme="minorHAnsi"/>
                <w:color w:val="000000"/>
                <w:sz w:val="20"/>
                <w:szCs w:val="20"/>
                <w:lang w:eastAsia="en-GB"/>
              </w:rPr>
              <w:tab/>
              <w:t>€2</w:t>
            </w:r>
            <w:r w:rsidR="001C11C7">
              <w:rPr>
                <w:rFonts w:eastAsia="Times New Roman" w:cstheme="minorHAnsi"/>
                <w:color w:val="000000"/>
                <w:sz w:val="20"/>
                <w:szCs w:val="20"/>
                <w:lang w:eastAsia="en-GB"/>
              </w:rPr>
              <w:t>0</w:t>
            </w:r>
            <w:r w:rsidRPr="00FB53D1">
              <w:rPr>
                <w:rFonts w:eastAsia="Times New Roman" w:cstheme="minorHAnsi"/>
                <w:color w:val="000000"/>
                <w:sz w:val="20"/>
                <w:szCs w:val="20"/>
                <w:lang w:eastAsia="en-GB"/>
              </w:rPr>
              <w:t>0K</w:t>
            </w:r>
            <w:r w:rsidR="00DF6473" w:rsidRPr="00FB53D1">
              <w:rPr>
                <w:rFonts w:eastAsia="Times New Roman" w:cstheme="minorHAnsi"/>
                <w:color w:val="000000"/>
                <w:sz w:val="20"/>
                <w:szCs w:val="20"/>
                <w:lang w:eastAsia="en-GB"/>
              </w:rPr>
              <w:t xml:space="preserve"> pa</w:t>
            </w:r>
          </w:p>
        </w:tc>
      </w:tr>
      <w:tr w:rsidR="009A0FB8" w:rsidRPr="00FB53D1" w14:paraId="7B90385D" w14:textId="7199EE36" w:rsidTr="00B836E9">
        <w:trPr>
          <w:trHeight w:val="69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50E13F2B" w14:textId="301B2D22" w:rsidR="009A0FB8" w:rsidRPr="00FB53D1" w:rsidRDefault="009A0FB8" w:rsidP="00552A97">
            <w:pPr>
              <w:spacing w:beforeLines="20" w:before="48" w:afterLines="20" w:after="48" w:line="276" w:lineRule="auto"/>
              <w:rPr>
                <w:rFonts w:cstheme="minorHAnsi"/>
                <w:b w:val="0"/>
                <w:sz w:val="20"/>
                <w:szCs w:val="20"/>
              </w:rPr>
            </w:pPr>
            <w:r w:rsidRPr="00FB53D1">
              <w:rPr>
                <w:rFonts w:cstheme="minorHAnsi"/>
                <w:b w:val="0"/>
                <w:sz w:val="20"/>
                <w:szCs w:val="20"/>
              </w:rPr>
              <w:t>Data Submission Enhancements</w:t>
            </w:r>
          </w:p>
        </w:tc>
        <w:tc>
          <w:tcPr>
            <w:tcW w:w="1027" w:type="dxa"/>
            <w:vAlign w:val="center"/>
          </w:tcPr>
          <w:p w14:paraId="6C41301B" w14:textId="57532122" w:rsidR="009A0FB8" w:rsidRPr="00FB53D1" w:rsidRDefault="000F5BF6"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2</w:t>
            </w:r>
          </w:p>
        </w:tc>
        <w:tc>
          <w:tcPr>
            <w:tcW w:w="1539" w:type="dxa"/>
            <w:vAlign w:val="center"/>
          </w:tcPr>
          <w:p w14:paraId="1BDF73B2" w14:textId="2B2AEEF8" w:rsidR="009A0FB8" w:rsidRPr="00FB53D1" w:rsidRDefault="000F5BF6"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7</w:t>
            </w:r>
          </w:p>
        </w:tc>
        <w:tc>
          <w:tcPr>
            <w:tcW w:w="1008" w:type="dxa"/>
            <w:vAlign w:val="center"/>
          </w:tcPr>
          <w:p w14:paraId="66663F1D" w14:textId="50DF6F41" w:rsidR="009A0FB8" w:rsidRPr="00FB53D1" w:rsidRDefault="009A0FB8"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B53D1">
              <w:rPr>
                <w:rFonts w:cstheme="minorHAnsi"/>
                <w:b/>
                <w:sz w:val="20"/>
                <w:szCs w:val="20"/>
              </w:rPr>
              <w:t>9</w:t>
            </w:r>
          </w:p>
        </w:tc>
        <w:tc>
          <w:tcPr>
            <w:tcW w:w="3791" w:type="dxa"/>
            <w:vAlign w:val="center"/>
          </w:tcPr>
          <w:p w14:paraId="3B471E9B" w14:textId="20603EF3" w:rsidR="009E4F4B" w:rsidRPr="00FB53D1" w:rsidRDefault="009E4F4B"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 xml:space="preserve">2020: </w:t>
            </w:r>
            <w:r w:rsidRPr="00FB53D1">
              <w:rPr>
                <w:rFonts w:eastAsia="Times New Roman" w:cstheme="minorHAnsi"/>
                <w:color w:val="000000"/>
                <w:sz w:val="20"/>
                <w:szCs w:val="20"/>
                <w:lang w:eastAsia="en-GB"/>
              </w:rPr>
              <w:tab/>
            </w:r>
            <w:proofErr w:type="gramStart"/>
            <w:r w:rsidRPr="00FB53D1">
              <w:rPr>
                <w:rFonts w:eastAsia="Times New Roman" w:cstheme="minorHAnsi"/>
                <w:color w:val="000000"/>
                <w:sz w:val="20"/>
                <w:szCs w:val="20"/>
                <w:lang w:eastAsia="en-GB"/>
              </w:rPr>
              <w:t>€</w:t>
            </w:r>
            <w:r w:rsidR="00B643D5" w:rsidRPr="00FB53D1">
              <w:rPr>
                <w:rFonts w:eastAsia="Times New Roman" w:cstheme="minorHAnsi"/>
                <w:color w:val="000000"/>
                <w:sz w:val="20"/>
                <w:szCs w:val="20"/>
                <w:lang w:eastAsia="en-GB"/>
              </w:rPr>
              <w:t xml:space="preserve">  6</w:t>
            </w:r>
            <w:r w:rsidRPr="00FB53D1">
              <w:rPr>
                <w:rFonts w:eastAsia="Times New Roman" w:cstheme="minorHAnsi"/>
                <w:color w:val="000000"/>
                <w:sz w:val="20"/>
                <w:szCs w:val="20"/>
                <w:lang w:eastAsia="en-GB"/>
              </w:rPr>
              <w:t>0</w:t>
            </w:r>
            <w:proofErr w:type="gramEnd"/>
            <w:r w:rsidRPr="00FB53D1">
              <w:rPr>
                <w:rFonts w:eastAsia="Times New Roman" w:cstheme="minorHAnsi"/>
                <w:color w:val="000000"/>
                <w:sz w:val="20"/>
                <w:szCs w:val="20"/>
                <w:lang w:eastAsia="en-GB"/>
              </w:rPr>
              <w:t>K</w:t>
            </w:r>
          </w:p>
          <w:p w14:paraId="25B0600D" w14:textId="7FC6957F" w:rsidR="009E4F4B" w:rsidRPr="00FB53D1" w:rsidRDefault="009E4F4B"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2021-2024:</w:t>
            </w:r>
            <w:r w:rsidRPr="00FB53D1">
              <w:rPr>
                <w:rFonts w:eastAsia="Times New Roman" w:cstheme="minorHAnsi"/>
                <w:color w:val="000000"/>
                <w:sz w:val="20"/>
                <w:szCs w:val="20"/>
                <w:lang w:eastAsia="en-GB"/>
              </w:rPr>
              <w:tab/>
              <w:t>€1</w:t>
            </w:r>
            <w:r w:rsidR="00B836E9" w:rsidRPr="00FB53D1">
              <w:rPr>
                <w:rFonts w:eastAsia="Times New Roman" w:cstheme="minorHAnsi"/>
                <w:color w:val="000000"/>
                <w:sz w:val="20"/>
                <w:szCs w:val="20"/>
                <w:lang w:eastAsia="en-GB"/>
              </w:rPr>
              <w:t>5</w:t>
            </w:r>
            <w:r w:rsidRPr="00FB53D1">
              <w:rPr>
                <w:rFonts w:eastAsia="Times New Roman" w:cstheme="minorHAnsi"/>
                <w:color w:val="000000"/>
                <w:sz w:val="20"/>
                <w:szCs w:val="20"/>
                <w:lang w:eastAsia="en-GB"/>
              </w:rPr>
              <w:t>5K</w:t>
            </w:r>
            <w:r w:rsidR="00867F15" w:rsidRPr="00FB53D1">
              <w:rPr>
                <w:rFonts w:eastAsia="Times New Roman" w:cstheme="minorHAnsi"/>
                <w:color w:val="000000"/>
                <w:sz w:val="20"/>
                <w:szCs w:val="20"/>
                <w:lang w:eastAsia="en-GB"/>
              </w:rPr>
              <w:t xml:space="preserve"> pa</w:t>
            </w:r>
          </w:p>
          <w:p w14:paraId="3954898D" w14:textId="00622107" w:rsidR="009A0FB8" w:rsidRPr="00FB53D1" w:rsidRDefault="009E4F4B"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en-GB"/>
              </w:rPr>
            </w:pPr>
            <w:r w:rsidRPr="00FB53D1">
              <w:rPr>
                <w:rFonts w:eastAsia="Times New Roman" w:cstheme="minorHAnsi"/>
                <w:color w:val="000000"/>
                <w:sz w:val="20"/>
                <w:szCs w:val="20"/>
                <w:lang w:eastAsia="en-GB"/>
              </w:rPr>
              <w:t>2025-:</w:t>
            </w:r>
            <w:r w:rsidRPr="00FB53D1">
              <w:rPr>
                <w:rFonts w:eastAsia="Times New Roman" w:cstheme="minorHAnsi"/>
                <w:color w:val="000000"/>
                <w:sz w:val="20"/>
                <w:szCs w:val="20"/>
                <w:lang w:eastAsia="en-GB"/>
              </w:rPr>
              <w:tab/>
            </w:r>
            <w:r w:rsidRPr="00FB53D1">
              <w:rPr>
                <w:rFonts w:eastAsia="Times New Roman" w:cstheme="minorHAnsi"/>
                <w:sz w:val="20"/>
                <w:szCs w:val="20"/>
                <w:lang w:eastAsia="en-GB"/>
              </w:rPr>
              <w:t>€</w:t>
            </w:r>
            <w:r w:rsidR="004A156D" w:rsidRPr="00FB53D1">
              <w:rPr>
                <w:rFonts w:eastAsia="Times New Roman" w:cstheme="minorHAnsi"/>
                <w:sz w:val="20"/>
                <w:szCs w:val="20"/>
                <w:lang w:eastAsia="en-GB"/>
              </w:rPr>
              <w:t xml:space="preserve">  9</w:t>
            </w:r>
            <w:r w:rsidRPr="00FB53D1">
              <w:rPr>
                <w:rFonts w:eastAsia="Times New Roman" w:cstheme="minorHAnsi"/>
                <w:sz w:val="20"/>
                <w:szCs w:val="20"/>
                <w:lang w:eastAsia="en-GB"/>
              </w:rPr>
              <w:t>0K</w:t>
            </w:r>
            <w:r w:rsidR="00DF6473" w:rsidRPr="00FB53D1">
              <w:rPr>
                <w:rFonts w:eastAsia="Times New Roman" w:cstheme="minorHAnsi"/>
                <w:sz w:val="20"/>
                <w:szCs w:val="20"/>
                <w:lang w:eastAsia="en-GB"/>
              </w:rPr>
              <w:t xml:space="preserve"> </w:t>
            </w:r>
            <w:r w:rsidR="00DF6473" w:rsidRPr="00FB53D1">
              <w:rPr>
                <w:rFonts w:eastAsia="Times New Roman" w:cstheme="minorHAnsi"/>
                <w:color w:val="000000"/>
                <w:sz w:val="20"/>
                <w:szCs w:val="20"/>
                <w:lang w:eastAsia="en-GB"/>
              </w:rPr>
              <w:t>pa</w:t>
            </w:r>
          </w:p>
        </w:tc>
      </w:tr>
      <w:tr w:rsidR="009A0FB8" w:rsidRPr="00FB53D1" w14:paraId="1CA1DBD1" w14:textId="7B2DAA7B" w:rsidTr="001B5E2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0A7D79D2" w14:textId="0E7835E5" w:rsidR="009A0FB8" w:rsidRPr="00FB53D1" w:rsidRDefault="009A0FB8" w:rsidP="00552A97">
            <w:pPr>
              <w:spacing w:beforeLines="20" w:before="48" w:afterLines="20" w:after="48" w:line="276" w:lineRule="auto"/>
              <w:rPr>
                <w:rFonts w:cstheme="minorHAnsi"/>
                <w:b w:val="0"/>
                <w:sz w:val="20"/>
                <w:szCs w:val="20"/>
              </w:rPr>
            </w:pPr>
            <w:r w:rsidRPr="00FB53D1">
              <w:rPr>
                <w:rFonts w:cstheme="minorHAnsi"/>
                <w:b w:val="0"/>
                <w:sz w:val="20"/>
                <w:szCs w:val="20"/>
              </w:rPr>
              <w:t>Service Levels</w:t>
            </w:r>
          </w:p>
        </w:tc>
        <w:tc>
          <w:tcPr>
            <w:tcW w:w="1027" w:type="dxa"/>
            <w:shd w:val="clear" w:color="auto" w:fill="auto"/>
            <w:vAlign w:val="center"/>
          </w:tcPr>
          <w:p w14:paraId="0AB72B42" w14:textId="0251F0E7"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2</w:t>
            </w:r>
          </w:p>
        </w:tc>
        <w:tc>
          <w:tcPr>
            <w:tcW w:w="1539" w:type="dxa"/>
            <w:shd w:val="clear" w:color="auto" w:fill="auto"/>
            <w:vAlign w:val="center"/>
          </w:tcPr>
          <w:p w14:paraId="30033EC5" w14:textId="0BFBE045"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2</w:t>
            </w:r>
          </w:p>
        </w:tc>
        <w:tc>
          <w:tcPr>
            <w:tcW w:w="1008" w:type="dxa"/>
            <w:shd w:val="clear" w:color="auto" w:fill="auto"/>
            <w:vAlign w:val="center"/>
          </w:tcPr>
          <w:p w14:paraId="078BE376" w14:textId="79908F6E"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B53D1">
              <w:rPr>
                <w:rFonts w:cstheme="minorHAnsi"/>
                <w:b/>
                <w:sz w:val="20"/>
                <w:szCs w:val="20"/>
              </w:rPr>
              <w:t>4</w:t>
            </w:r>
          </w:p>
        </w:tc>
        <w:tc>
          <w:tcPr>
            <w:tcW w:w="3791" w:type="dxa"/>
            <w:shd w:val="clear" w:color="auto" w:fill="auto"/>
            <w:vAlign w:val="center"/>
          </w:tcPr>
          <w:p w14:paraId="2B7E81A1" w14:textId="77777777" w:rsidR="009E4F4B" w:rsidRPr="00FB53D1" w:rsidRDefault="009E4F4B"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 xml:space="preserve">2020: </w:t>
            </w:r>
            <w:r w:rsidRPr="00FB53D1">
              <w:rPr>
                <w:rFonts w:eastAsia="Times New Roman" w:cstheme="minorHAnsi"/>
                <w:color w:val="000000"/>
                <w:sz w:val="20"/>
                <w:szCs w:val="20"/>
                <w:lang w:eastAsia="en-GB"/>
              </w:rPr>
              <w:tab/>
              <w:t>None</w:t>
            </w:r>
          </w:p>
          <w:p w14:paraId="66A6976D" w14:textId="55CD5352" w:rsidR="009E4F4B" w:rsidRPr="00FB53D1" w:rsidRDefault="009E4F4B"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2021-2024:</w:t>
            </w:r>
            <w:r w:rsidRPr="00FB53D1">
              <w:rPr>
                <w:rFonts w:eastAsia="Times New Roman" w:cstheme="minorHAnsi"/>
                <w:color w:val="000000"/>
                <w:sz w:val="20"/>
                <w:szCs w:val="20"/>
                <w:lang w:eastAsia="en-GB"/>
              </w:rPr>
              <w:tab/>
              <w:t>€</w:t>
            </w:r>
            <w:r w:rsidR="00B836E9" w:rsidRPr="00FB53D1">
              <w:rPr>
                <w:rFonts w:eastAsia="Times New Roman" w:cstheme="minorHAnsi"/>
                <w:color w:val="000000"/>
                <w:sz w:val="20"/>
                <w:szCs w:val="20"/>
                <w:lang w:eastAsia="en-GB"/>
              </w:rPr>
              <w:t>1</w:t>
            </w:r>
            <w:r w:rsidR="00B836E9" w:rsidRPr="00FB53D1">
              <w:rPr>
                <w:rFonts w:eastAsia="Times New Roman" w:cstheme="minorHAnsi"/>
                <w:sz w:val="20"/>
                <w:szCs w:val="20"/>
                <w:lang w:eastAsia="en-GB"/>
              </w:rPr>
              <w:t>24</w:t>
            </w:r>
            <w:r w:rsidRPr="00FB53D1">
              <w:rPr>
                <w:rFonts w:eastAsia="Times New Roman" w:cstheme="minorHAnsi"/>
                <w:color w:val="000000"/>
                <w:sz w:val="20"/>
                <w:szCs w:val="20"/>
                <w:lang w:eastAsia="en-GB"/>
              </w:rPr>
              <w:t>K</w:t>
            </w:r>
            <w:r w:rsidR="00867F15" w:rsidRPr="00FB53D1">
              <w:rPr>
                <w:rFonts w:eastAsia="Times New Roman" w:cstheme="minorHAnsi"/>
                <w:color w:val="000000"/>
                <w:sz w:val="20"/>
                <w:szCs w:val="20"/>
                <w:lang w:eastAsia="en-GB"/>
              </w:rPr>
              <w:t xml:space="preserve"> pa</w:t>
            </w:r>
          </w:p>
          <w:p w14:paraId="21F21CBB" w14:textId="41024A2E" w:rsidR="009A0FB8" w:rsidRPr="00FB53D1" w:rsidRDefault="009E4F4B"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en-GB"/>
              </w:rPr>
            </w:pPr>
            <w:r w:rsidRPr="00FB53D1">
              <w:rPr>
                <w:rFonts w:eastAsia="Times New Roman" w:cstheme="minorHAnsi"/>
                <w:color w:val="000000"/>
                <w:sz w:val="20"/>
                <w:szCs w:val="20"/>
                <w:lang w:eastAsia="en-GB"/>
              </w:rPr>
              <w:t>2025-:</w:t>
            </w:r>
            <w:r w:rsidRPr="00FB53D1">
              <w:rPr>
                <w:rFonts w:eastAsia="Times New Roman" w:cstheme="minorHAnsi"/>
                <w:color w:val="000000"/>
                <w:sz w:val="20"/>
                <w:szCs w:val="20"/>
                <w:lang w:eastAsia="en-GB"/>
              </w:rPr>
              <w:tab/>
              <w:t>€</w:t>
            </w:r>
            <w:r w:rsidR="00B836E9" w:rsidRPr="00FB53D1">
              <w:rPr>
                <w:rFonts w:eastAsia="Times New Roman" w:cstheme="minorHAnsi"/>
                <w:color w:val="000000"/>
                <w:sz w:val="20"/>
                <w:szCs w:val="20"/>
                <w:lang w:eastAsia="en-GB"/>
              </w:rPr>
              <w:t xml:space="preserve"> 6</w:t>
            </w:r>
            <w:r w:rsidRPr="00FB53D1">
              <w:rPr>
                <w:rFonts w:eastAsia="Times New Roman" w:cstheme="minorHAnsi"/>
                <w:color w:val="000000"/>
                <w:sz w:val="20"/>
                <w:szCs w:val="20"/>
                <w:lang w:eastAsia="en-GB"/>
              </w:rPr>
              <w:t>0K</w:t>
            </w:r>
            <w:r w:rsidR="00DF6473" w:rsidRPr="00FB53D1">
              <w:rPr>
                <w:rFonts w:eastAsia="Times New Roman" w:cstheme="minorHAnsi"/>
                <w:color w:val="000000"/>
                <w:sz w:val="20"/>
                <w:szCs w:val="20"/>
                <w:lang w:eastAsia="en-GB"/>
              </w:rPr>
              <w:t xml:space="preserve"> pa</w:t>
            </w:r>
          </w:p>
        </w:tc>
      </w:tr>
      <w:tr w:rsidR="009A0FB8" w:rsidRPr="00FB53D1" w14:paraId="57C24428" w14:textId="60450913" w:rsidTr="00B836E9">
        <w:trPr>
          <w:trHeight w:val="693"/>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1EFCD468" w14:textId="2D6C1379" w:rsidR="009A0FB8" w:rsidRPr="00FB53D1" w:rsidRDefault="009A0FB8" w:rsidP="00552A97">
            <w:pPr>
              <w:spacing w:beforeLines="20" w:before="48" w:afterLines="20" w:after="48" w:line="276" w:lineRule="auto"/>
              <w:rPr>
                <w:rFonts w:cstheme="minorHAnsi"/>
                <w:b w:val="0"/>
                <w:sz w:val="20"/>
                <w:szCs w:val="20"/>
              </w:rPr>
            </w:pPr>
            <w:r w:rsidRPr="00FB53D1">
              <w:rPr>
                <w:rFonts w:cstheme="minorHAnsi"/>
                <w:b w:val="0"/>
                <w:sz w:val="20"/>
                <w:szCs w:val="20"/>
              </w:rPr>
              <w:t>Service Availability</w:t>
            </w:r>
          </w:p>
        </w:tc>
        <w:tc>
          <w:tcPr>
            <w:tcW w:w="1027" w:type="dxa"/>
            <w:vAlign w:val="center"/>
          </w:tcPr>
          <w:p w14:paraId="646D49A9" w14:textId="260558DC" w:rsidR="009A0FB8" w:rsidRPr="00FB53D1" w:rsidRDefault="009A0FB8"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0</w:t>
            </w:r>
          </w:p>
        </w:tc>
        <w:tc>
          <w:tcPr>
            <w:tcW w:w="1539" w:type="dxa"/>
            <w:vAlign w:val="center"/>
          </w:tcPr>
          <w:p w14:paraId="4FAFB4DB" w14:textId="39DB5FBB" w:rsidR="009A0FB8" w:rsidRPr="00FB53D1" w:rsidRDefault="009A0FB8"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53D1">
              <w:rPr>
                <w:rFonts w:cstheme="minorHAnsi"/>
                <w:sz w:val="20"/>
                <w:szCs w:val="20"/>
              </w:rPr>
              <w:t>1</w:t>
            </w:r>
          </w:p>
        </w:tc>
        <w:tc>
          <w:tcPr>
            <w:tcW w:w="1008" w:type="dxa"/>
            <w:vAlign w:val="center"/>
          </w:tcPr>
          <w:p w14:paraId="22BA14F2" w14:textId="2FF44AA6" w:rsidR="009A0FB8" w:rsidRPr="00FB53D1" w:rsidRDefault="009A0FB8"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B53D1">
              <w:rPr>
                <w:rFonts w:cstheme="minorHAnsi"/>
                <w:b/>
                <w:sz w:val="20"/>
                <w:szCs w:val="20"/>
              </w:rPr>
              <w:t>1</w:t>
            </w:r>
          </w:p>
        </w:tc>
        <w:tc>
          <w:tcPr>
            <w:tcW w:w="3791" w:type="dxa"/>
            <w:vAlign w:val="center"/>
          </w:tcPr>
          <w:p w14:paraId="537A0142" w14:textId="2492F392" w:rsidR="009A0FB8" w:rsidRPr="00FB53D1" w:rsidRDefault="009E4F4B"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 xml:space="preserve">2020: </w:t>
            </w:r>
            <w:r w:rsidRPr="00FB53D1">
              <w:rPr>
                <w:rFonts w:eastAsia="Times New Roman" w:cstheme="minorHAnsi"/>
                <w:color w:val="000000"/>
                <w:sz w:val="20"/>
                <w:szCs w:val="20"/>
                <w:lang w:eastAsia="en-GB"/>
              </w:rPr>
              <w:tab/>
              <w:t>None</w:t>
            </w:r>
          </w:p>
        </w:tc>
      </w:tr>
      <w:tr w:rsidR="009A0FB8" w:rsidRPr="00FB53D1" w14:paraId="48F2A34E" w14:textId="0A8F1546" w:rsidTr="001B5E20">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419" w:type="dxa"/>
            <w:tcBorders>
              <w:bottom w:val="single" w:sz="4" w:space="0" w:color="BDD6EE" w:themeColor="accent1" w:themeTint="66"/>
            </w:tcBorders>
            <w:vAlign w:val="center"/>
          </w:tcPr>
          <w:p w14:paraId="2C389A20" w14:textId="3D74A24D" w:rsidR="009A0FB8" w:rsidRPr="00FB53D1" w:rsidRDefault="009A0FB8" w:rsidP="00552A97">
            <w:pPr>
              <w:spacing w:beforeLines="20" w:before="48" w:afterLines="20" w:after="48" w:line="276" w:lineRule="auto"/>
              <w:rPr>
                <w:rFonts w:cstheme="minorHAnsi"/>
                <w:b w:val="0"/>
                <w:sz w:val="20"/>
                <w:szCs w:val="20"/>
              </w:rPr>
            </w:pPr>
            <w:r w:rsidRPr="00FB53D1">
              <w:rPr>
                <w:rFonts w:cstheme="minorHAnsi"/>
                <w:b w:val="0"/>
                <w:sz w:val="20"/>
                <w:szCs w:val="20"/>
              </w:rPr>
              <w:t>Cyber-Security</w:t>
            </w:r>
          </w:p>
        </w:tc>
        <w:tc>
          <w:tcPr>
            <w:tcW w:w="1027" w:type="dxa"/>
            <w:tcBorders>
              <w:bottom w:val="single" w:sz="4" w:space="0" w:color="BDD6EE" w:themeColor="accent1" w:themeTint="66"/>
            </w:tcBorders>
            <w:shd w:val="clear" w:color="auto" w:fill="auto"/>
            <w:vAlign w:val="center"/>
          </w:tcPr>
          <w:p w14:paraId="127D77C6" w14:textId="362EBE5F" w:rsidR="009A0FB8" w:rsidRPr="00FB53D1" w:rsidRDefault="009A0FB8"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1</w:t>
            </w:r>
          </w:p>
        </w:tc>
        <w:tc>
          <w:tcPr>
            <w:tcW w:w="1539" w:type="dxa"/>
            <w:tcBorders>
              <w:bottom w:val="single" w:sz="4" w:space="0" w:color="BDD6EE" w:themeColor="accent1" w:themeTint="66"/>
            </w:tcBorders>
            <w:shd w:val="clear" w:color="auto" w:fill="auto"/>
            <w:vAlign w:val="center"/>
          </w:tcPr>
          <w:p w14:paraId="7268989B" w14:textId="3496E4A8" w:rsidR="009A0FB8" w:rsidRPr="00FB53D1" w:rsidRDefault="00942E4C"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53D1">
              <w:rPr>
                <w:rFonts w:cstheme="minorHAnsi"/>
                <w:sz w:val="20"/>
                <w:szCs w:val="20"/>
              </w:rPr>
              <w:t>4</w:t>
            </w:r>
          </w:p>
        </w:tc>
        <w:tc>
          <w:tcPr>
            <w:tcW w:w="1008" w:type="dxa"/>
            <w:tcBorders>
              <w:bottom w:val="single" w:sz="4" w:space="0" w:color="BDD6EE" w:themeColor="accent1" w:themeTint="66"/>
            </w:tcBorders>
            <w:shd w:val="clear" w:color="auto" w:fill="auto"/>
            <w:vAlign w:val="center"/>
          </w:tcPr>
          <w:p w14:paraId="31B35C8F" w14:textId="6961D22C" w:rsidR="009A0FB8" w:rsidRPr="00FB53D1" w:rsidRDefault="00942E4C" w:rsidP="00552A97">
            <w:pPr>
              <w:spacing w:beforeLines="20" w:before="48" w:afterLines="20" w:after="48"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B53D1">
              <w:rPr>
                <w:rFonts w:cstheme="minorHAnsi"/>
                <w:b/>
                <w:sz w:val="20"/>
                <w:szCs w:val="20"/>
              </w:rPr>
              <w:t>5</w:t>
            </w:r>
          </w:p>
        </w:tc>
        <w:tc>
          <w:tcPr>
            <w:tcW w:w="3791" w:type="dxa"/>
            <w:tcBorders>
              <w:bottom w:val="single" w:sz="4" w:space="0" w:color="BDD6EE" w:themeColor="accent1" w:themeTint="66"/>
            </w:tcBorders>
            <w:shd w:val="clear" w:color="auto" w:fill="auto"/>
            <w:vAlign w:val="center"/>
          </w:tcPr>
          <w:p w14:paraId="67B5653C" w14:textId="77777777" w:rsidR="00977C5C" w:rsidRPr="00FB53D1" w:rsidRDefault="00977C5C"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 xml:space="preserve">2020: </w:t>
            </w:r>
            <w:r w:rsidRPr="00FB53D1">
              <w:rPr>
                <w:rFonts w:eastAsia="Times New Roman" w:cstheme="minorHAnsi"/>
                <w:color w:val="000000"/>
                <w:sz w:val="20"/>
                <w:szCs w:val="20"/>
                <w:lang w:eastAsia="en-GB"/>
              </w:rPr>
              <w:tab/>
              <w:t>€470K</w:t>
            </w:r>
          </w:p>
          <w:p w14:paraId="751D2227" w14:textId="4E709DFF" w:rsidR="00977C5C" w:rsidRPr="00FB53D1" w:rsidRDefault="00977C5C"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2021-2024:</w:t>
            </w:r>
            <w:r w:rsidRPr="00FB53D1">
              <w:rPr>
                <w:rFonts w:eastAsia="Times New Roman" w:cstheme="minorHAnsi"/>
                <w:color w:val="000000"/>
                <w:sz w:val="20"/>
                <w:szCs w:val="20"/>
                <w:lang w:eastAsia="en-GB"/>
              </w:rPr>
              <w:tab/>
              <w:t>€385K</w:t>
            </w:r>
            <w:r w:rsidR="00867F15" w:rsidRPr="00FB53D1">
              <w:rPr>
                <w:rFonts w:eastAsia="Times New Roman" w:cstheme="minorHAnsi"/>
                <w:color w:val="000000"/>
                <w:sz w:val="20"/>
                <w:szCs w:val="20"/>
                <w:lang w:eastAsia="en-GB"/>
              </w:rPr>
              <w:t xml:space="preserve"> pa</w:t>
            </w:r>
          </w:p>
          <w:p w14:paraId="2E2FDF2B" w14:textId="68AF2553" w:rsidR="009A0FB8" w:rsidRPr="00FB53D1" w:rsidRDefault="00977C5C" w:rsidP="00552A97">
            <w:pPr>
              <w:pStyle w:val="ListParagraph"/>
              <w:numPr>
                <w:ilvl w:val="0"/>
                <w:numId w:val="46"/>
              </w:numPr>
              <w:spacing w:beforeLines="20" w:before="48" w:afterLines="20" w:after="48"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B53D1">
              <w:rPr>
                <w:rFonts w:eastAsia="Times New Roman" w:cstheme="minorHAnsi"/>
                <w:color w:val="000000"/>
                <w:sz w:val="20"/>
                <w:szCs w:val="20"/>
                <w:lang w:eastAsia="en-GB"/>
              </w:rPr>
              <w:t>2025-:</w:t>
            </w:r>
            <w:r w:rsidRPr="00FB53D1">
              <w:rPr>
                <w:rFonts w:eastAsia="Times New Roman" w:cstheme="minorHAnsi"/>
                <w:color w:val="000000"/>
                <w:sz w:val="20"/>
                <w:szCs w:val="20"/>
                <w:lang w:eastAsia="en-GB"/>
              </w:rPr>
              <w:tab/>
              <w:t>€335K</w:t>
            </w:r>
            <w:r w:rsidR="00DF6473" w:rsidRPr="00FB53D1">
              <w:rPr>
                <w:rFonts w:eastAsia="Times New Roman" w:cstheme="minorHAnsi"/>
                <w:color w:val="000000"/>
                <w:sz w:val="20"/>
                <w:szCs w:val="20"/>
                <w:lang w:eastAsia="en-GB"/>
              </w:rPr>
              <w:t xml:space="preserve"> pa</w:t>
            </w:r>
          </w:p>
        </w:tc>
      </w:tr>
      <w:tr w:rsidR="009A0FB8" w:rsidRPr="00FB53D1" w14:paraId="13261C79" w14:textId="7D914C0F" w:rsidTr="00B836E9">
        <w:trPr>
          <w:trHeight w:val="693"/>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BDD6EE" w:themeColor="accent1" w:themeTint="66"/>
              <w:bottom w:val="single" w:sz="4" w:space="0" w:color="9CC2E5" w:themeColor="accent1" w:themeTint="99"/>
            </w:tcBorders>
            <w:vAlign w:val="center"/>
          </w:tcPr>
          <w:p w14:paraId="3B44FF87" w14:textId="762C1C16" w:rsidR="009A0FB8" w:rsidRPr="00FB53D1" w:rsidRDefault="009A0FB8" w:rsidP="00552A97">
            <w:pPr>
              <w:spacing w:beforeLines="20" w:before="48" w:afterLines="20" w:after="48" w:line="276" w:lineRule="auto"/>
              <w:rPr>
                <w:rFonts w:cstheme="minorHAnsi"/>
                <w:b w:val="0"/>
                <w:sz w:val="20"/>
              </w:rPr>
            </w:pPr>
            <w:r w:rsidRPr="00FB53D1">
              <w:rPr>
                <w:rFonts w:cstheme="minorHAnsi"/>
                <w:b w:val="0"/>
                <w:color w:val="auto"/>
                <w:sz w:val="20"/>
                <w:szCs w:val="20"/>
              </w:rPr>
              <w:t>TOTAL</w:t>
            </w:r>
            <w:r w:rsidR="00334FF4" w:rsidRPr="00FB53D1">
              <w:rPr>
                <w:rStyle w:val="FootnoteReference"/>
                <w:rFonts w:cstheme="minorHAnsi"/>
                <w:b w:val="0"/>
                <w:color w:val="auto"/>
                <w:sz w:val="20"/>
                <w:szCs w:val="20"/>
              </w:rPr>
              <w:footnoteReference w:id="8"/>
            </w:r>
          </w:p>
        </w:tc>
        <w:tc>
          <w:tcPr>
            <w:tcW w:w="1027" w:type="dxa"/>
            <w:tcBorders>
              <w:top w:val="single" w:sz="4" w:space="0" w:color="BDD6EE" w:themeColor="accent1" w:themeTint="66"/>
              <w:bottom w:val="single" w:sz="4" w:space="0" w:color="9CC2E5" w:themeColor="accent1" w:themeTint="99"/>
            </w:tcBorders>
            <w:vAlign w:val="center"/>
          </w:tcPr>
          <w:p w14:paraId="610BA3B9" w14:textId="68C8DDEA" w:rsidR="009A0FB8" w:rsidRPr="00FB53D1" w:rsidRDefault="000F5BF6"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FB53D1">
              <w:rPr>
                <w:rFonts w:cstheme="minorHAnsi"/>
                <w:sz w:val="20"/>
              </w:rPr>
              <w:t>5</w:t>
            </w:r>
          </w:p>
        </w:tc>
        <w:tc>
          <w:tcPr>
            <w:tcW w:w="1539" w:type="dxa"/>
            <w:tcBorders>
              <w:top w:val="single" w:sz="4" w:space="0" w:color="BDD6EE" w:themeColor="accent1" w:themeTint="66"/>
              <w:bottom w:val="single" w:sz="4" w:space="0" w:color="9CC2E5" w:themeColor="accent1" w:themeTint="99"/>
            </w:tcBorders>
            <w:vAlign w:val="center"/>
          </w:tcPr>
          <w:p w14:paraId="1694ED91" w14:textId="7CF6447A" w:rsidR="009A0FB8" w:rsidRPr="00FB53D1" w:rsidRDefault="000F5BF6"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FB53D1">
              <w:rPr>
                <w:rFonts w:cstheme="minorHAnsi"/>
                <w:sz w:val="20"/>
              </w:rPr>
              <w:t>20</w:t>
            </w:r>
          </w:p>
        </w:tc>
        <w:tc>
          <w:tcPr>
            <w:tcW w:w="1008" w:type="dxa"/>
            <w:tcBorders>
              <w:top w:val="single" w:sz="4" w:space="0" w:color="BDD6EE" w:themeColor="accent1" w:themeTint="66"/>
              <w:bottom w:val="single" w:sz="4" w:space="0" w:color="9CC2E5" w:themeColor="accent1" w:themeTint="99"/>
            </w:tcBorders>
            <w:vAlign w:val="center"/>
          </w:tcPr>
          <w:p w14:paraId="6A6A82BA" w14:textId="0EAE00CC" w:rsidR="009A0FB8" w:rsidRPr="00FB53D1" w:rsidRDefault="00942E4C" w:rsidP="00552A97">
            <w:pPr>
              <w:spacing w:beforeLines="20" w:before="48" w:afterLines="20" w:after="48"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rPr>
            </w:pPr>
            <w:r w:rsidRPr="00FB53D1">
              <w:rPr>
                <w:rFonts w:cstheme="minorHAnsi"/>
                <w:sz w:val="20"/>
              </w:rPr>
              <w:t>25</w:t>
            </w:r>
          </w:p>
        </w:tc>
        <w:tc>
          <w:tcPr>
            <w:tcW w:w="3791" w:type="dxa"/>
            <w:tcBorders>
              <w:top w:val="single" w:sz="4" w:space="0" w:color="BDD6EE" w:themeColor="accent1" w:themeTint="66"/>
              <w:bottom w:val="single" w:sz="4" w:space="0" w:color="9CC2E5" w:themeColor="accent1" w:themeTint="99"/>
            </w:tcBorders>
            <w:vAlign w:val="center"/>
          </w:tcPr>
          <w:p w14:paraId="07EB68AB" w14:textId="334BB5C7" w:rsidR="00977C5C" w:rsidRPr="00FB53D1" w:rsidRDefault="00977C5C"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FB53D1">
              <w:rPr>
                <w:rFonts w:cstheme="minorHAnsi"/>
                <w:color w:val="000000"/>
                <w:sz w:val="20"/>
              </w:rPr>
              <w:t xml:space="preserve">2020: </w:t>
            </w:r>
            <w:r w:rsidRPr="00FB53D1">
              <w:rPr>
                <w:rFonts w:cstheme="minorHAnsi"/>
                <w:color w:val="000000"/>
                <w:sz w:val="20"/>
              </w:rPr>
              <w:tab/>
              <w:t xml:space="preserve">€   </w:t>
            </w:r>
            <w:r w:rsidR="00B643D5" w:rsidRPr="00FB53D1">
              <w:rPr>
                <w:rFonts w:cstheme="minorHAnsi"/>
                <w:color w:val="000000"/>
                <w:sz w:val="20"/>
              </w:rPr>
              <w:t>56</w:t>
            </w:r>
            <w:r w:rsidRPr="00FB53D1">
              <w:rPr>
                <w:rFonts w:cstheme="minorHAnsi"/>
                <w:color w:val="000000"/>
                <w:sz w:val="20"/>
              </w:rPr>
              <w:t>0K</w:t>
            </w:r>
          </w:p>
          <w:p w14:paraId="362116D9" w14:textId="7A1C7331" w:rsidR="00977C5C" w:rsidRPr="00FB53D1" w:rsidRDefault="00977C5C"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sz w:val="20"/>
              </w:rPr>
            </w:pPr>
            <w:r w:rsidRPr="00FB53D1">
              <w:rPr>
                <w:rFonts w:cstheme="minorHAnsi"/>
                <w:color w:val="000000"/>
                <w:sz w:val="20"/>
              </w:rPr>
              <w:t>2021-2024:</w:t>
            </w:r>
            <w:r w:rsidRPr="00FB53D1">
              <w:rPr>
                <w:rFonts w:cstheme="minorHAnsi"/>
                <w:color w:val="000000"/>
                <w:sz w:val="20"/>
              </w:rPr>
              <w:tab/>
              <w:t>€1,0</w:t>
            </w:r>
            <w:r w:rsidR="001C11C7">
              <w:rPr>
                <w:rFonts w:cstheme="minorHAnsi"/>
                <w:color w:val="000000"/>
                <w:sz w:val="20"/>
              </w:rPr>
              <w:t>2</w:t>
            </w:r>
            <w:r w:rsidR="00B836E9" w:rsidRPr="00FB53D1">
              <w:rPr>
                <w:rFonts w:cstheme="minorHAnsi"/>
                <w:sz w:val="20"/>
              </w:rPr>
              <w:t>9</w:t>
            </w:r>
            <w:r w:rsidRPr="00FB53D1">
              <w:rPr>
                <w:rFonts w:cstheme="minorHAnsi"/>
                <w:color w:val="000000"/>
                <w:sz w:val="20"/>
              </w:rPr>
              <w:t>K</w:t>
            </w:r>
            <w:r w:rsidR="00867F15" w:rsidRPr="00FB53D1">
              <w:rPr>
                <w:rFonts w:cstheme="minorHAnsi"/>
                <w:color w:val="000000"/>
                <w:sz w:val="20"/>
              </w:rPr>
              <w:t xml:space="preserve"> pa</w:t>
            </w:r>
          </w:p>
          <w:p w14:paraId="4A1FDAAD" w14:textId="1DC67137" w:rsidR="009A0FB8" w:rsidRPr="00FB53D1" w:rsidRDefault="00977C5C" w:rsidP="00552A97">
            <w:pPr>
              <w:pStyle w:val="ListParagraph"/>
              <w:numPr>
                <w:ilvl w:val="0"/>
                <w:numId w:val="46"/>
              </w:numPr>
              <w:spacing w:beforeLines="20" w:before="48" w:afterLines="20" w:after="48"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B53D1">
              <w:rPr>
                <w:rFonts w:cstheme="minorHAnsi"/>
                <w:color w:val="000000"/>
                <w:sz w:val="20"/>
              </w:rPr>
              <w:t>2025-:</w:t>
            </w:r>
            <w:r w:rsidRPr="00FB53D1">
              <w:rPr>
                <w:rFonts w:cstheme="minorHAnsi"/>
                <w:color w:val="000000"/>
                <w:sz w:val="20"/>
              </w:rPr>
              <w:tab/>
              <w:t xml:space="preserve">€   </w:t>
            </w:r>
            <w:r w:rsidR="001C11C7">
              <w:rPr>
                <w:rFonts w:eastAsia="Times New Roman" w:cstheme="minorHAnsi"/>
                <w:bCs/>
                <w:color w:val="000000"/>
                <w:sz w:val="20"/>
                <w:szCs w:val="20"/>
                <w:lang w:eastAsia="en-GB"/>
              </w:rPr>
              <w:t>685</w:t>
            </w:r>
            <w:r w:rsidRPr="00FB53D1">
              <w:rPr>
                <w:rFonts w:eastAsia="Times New Roman" w:cstheme="minorHAnsi"/>
                <w:bCs/>
                <w:color w:val="000000"/>
                <w:sz w:val="20"/>
                <w:szCs w:val="20"/>
                <w:lang w:eastAsia="en-GB"/>
              </w:rPr>
              <w:t>K</w:t>
            </w:r>
            <w:r w:rsidR="00DF6473" w:rsidRPr="00FB53D1">
              <w:rPr>
                <w:rFonts w:cstheme="minorHAnsi"/>
                <w:color w:val="000000"/>
                <w:sz w:val="20"/>
              </w:rPr>
              <w:t xml:space="preserve"> pa</w:t>
            </w:r>
            <w:bookmarkStart w:id="20" w:name="_GoBack"/>
            <w:bookmarkEnd w:id="20"/>
          </w:p>
        </w:tc>
      </w:tr>
    </w:tbl>
    <w:p w14:paraId="4F621E99" w14:textId="696E7030" w:rsidR="00D63524" w:rsidRDefault="00061EEA" w:rsidP="00BB0E09">
      <w:pPr>
        <w:pStyle w:val="Heading2"/>
        <w:spacing w:after="240"/>
      </w:pPr>
      <w:bookmarkStart w:id="21" w:name="_Toc13053454"/>
      <w:bookmarkStart w:id="22" w:name="_Toc13054091"/>
      <w:bookmarkStart w:id="23" w:name="_Toc13083180"/>
      <w:bookmarkStart w:id="24" w:name="_Toc13087125"/>
      <w:bookmarkStart w:id="25" w:name="_Toc13140355"/>
      <w:bookmarkStart w:id="26" w:name="_Toc13053455"/>
      <w:bookmarkStart w:id="27" w:name="_Toc13054092"/>
      <w:bookmarkStart w:id="28" w:name="_Toc13083181"/>
      <w:bookmarkStart w:id="29" w:name="_Toc13087126"/>
      <w:bookmarkStart w:id="30" w:name="_Toc13140356"/>
      <w:bookmarkStart w:id="31" w:name="_Toc13087127"/>
      <w:bookmarkStart w:id="32" w:name="_Toc13157215"/>
      <w:bookmarkStart w:id="33" w:name="_Toc517783478"/>
      <w:bookmarkEnd w:id="21"/>
      <w:bookmarkEnd w:id="22"/>
      <w:bookmarkEnd w:id="23"/>
      <w:bookmarkEnd w:id="24"/>
      <w:bookmarkEnd w:id="25"/>
      <w:bookmarkEnd w:id="26"/>
      <w:bookmarkEnd w:id="27"/>
      <w:bookmarkEnd w:id="28"/>
      <w:bookmarkEnd w:id="29"/>
      <w:bookmarkEnd w:id="30"/>
      <w:r>
        <w:lastRenderedPageBreak/>
        <w:t>FUNCTIONALITY</w:t>
      </w:r>
      <w:bookmarkEnd w:id="31"/>
      <w:bookmarkEnd w:id="32"/>
    </w:p>
    <w:p w14:paraId="51140E10" w14:textId="77B0B088" w:rsidR="00061EEA" w:rsidRDefault="007D54D3" w:rsidP="00CC79AA">
      <w:r>
        <w:t xml:space="preserve">The DSB </w:t>
      </w:r>
      <w:r w:rsidR="00061EEA">
        <w:t>consulted on 6 proposed enhancements to the service functionality, based on user feedback received in the past 12 months. The responses are summarised below, together with the DSB’s analysis of the responses and proposed next steps.</w:t>
      </w:r>
    </w:p>
    <w:tbl>
      <w:tblPr>
        <w:tblStyle w:val="GridTable5Dark-Accent1"/>
        <w:tblW w:w="9067"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686"/>
        <w:gridCol w:w="2309"/>
        <w:gridCol w:w="1935"/>
        <w:gridCol w:w="4137"/>
      </w:tblGrid>
      <w:tr w:rsidR="00DA7FD4" w:rsidRPr="00FB53D1" w14:paraId="1C0224C7" w14:textId="77777777" w:rsidTr="00334FF4">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995" w:type="dxa"/>
            <w:gridSpan w:val="2"/>
            <w:vAlign w:val="center"/>
          </w:tcPr>
          <w:p w14:paraId="65DED5A4" w14:textId="52E05748" w:rsidR="001C5E8B" w:rsidRPr="00B81F55" w:rsidRDefault="001C5E8B" w:rsidP="00334FF4">
            <w:pPr>
              <w:spacing w:before="120" w:line="276" w:lineRule="auto"/>
              <w:contextualSpacing/>
              <w:rPr>
                <w:caps/>
              </w:rPr>
            </w:pPr>
            <w:r w:rsidRPr="00B81F55">
              <w:rPr>
                <w:caps/>
              </w:rPr>
              <w:t>Functionality</w:t>
            </w:r>
          </w:p>
        </w:tc>
        <w:tc>
          <w:tcPr>
            <w:tcW w:w="1935" w:type="dxa"/>
            <w:vAlign w:val="center"/>
          </w:tcPr>
          <w:p w14:paraId="30B6EA97" w14:textId="26069E91" w:rsidR="001C5E8B" w:rsidRPr="00B81F55" w:rsidRDefault="001C5E8B" w:rsidP="00334FF4">
            <w:pPr>
              <w:spacing w:before="120" w:line="276" w:lineRule="auto"/>
              <w:contextualSpacing/>
              <w:cnfStyle w:val="100000000000" w:firstRow="1" w:lastRow="0" w:firstColumn="0" w:lastColumn="0" w:oddVBand="0" w:evenVBand="0" w:oddHBand="0" w:evenHBand="0" w:firstRowFirstColumn="0" w:firstRowLastColumn="0" w:lastRowFirstColumn="0" w:lastRowLastColumn="0"/>
              <w:rPr>
                <w:caps/>
              </w:rPr>
            </w:pPr>
            <w:r w:rsidRPr="00B81F55">
              <w:rPr>
                <w:caps/>
              </w:rPr>
              <w:t>NEXT steps</w:t>
            </w:r>
          </w:p>
        </w:tc>
        <w:tc>
          <w:tcPr>
            <w:tcW w:w="4137" w:type="dxa"/>
            <w:vAlign w:val="center"/>
          </w:tcPr>
          <w:p w14:paraId="74527FEA" w14:textId="270EBAEF" w:rsidR="001C5E8B" w:rsidRPr="00B81F55" w:rsidRDefault="001C5E8B" w:rsidP="00334FF4">
            <w:pPr>
              <w:spacing w:before="120" w:line="276" w:lineRule="auto"/>
              <w:contextualSpacing/>
              <w:cnfStyle w:val="100000000000" w:firstRow="1" w:lastRow="0" w:firstColumn="0" w:lastColumn="0" w:oddVBand="0" w:evenVBand="0" w:oddHBand="0" w:evenHBand="0" w:firstRowFirstColumn="0" w:firstRowLastColumn="0" w:lastRowFirstColumn="0" w:lastRowLastColumn="0"/>
              <w:rPr>
                <w:rFonts w:eastAsia="Times New Roman"/>
                <w:caps/>
                <w:lang w:eastAsia="en-GB"/>
              </w:rPr>
            </w:pPr>
            <w:r w:rsidRPr="00B81F55">
              <w:rPr>
                <w:rFonts w:eastAsia="Times New Roman"/>
                <w:caps/>
                <w:lang w:eastAsia="en-GB"/>
              </w:rPr>
              <w:t xml:space="preserve">cost impact </w:t>
            </w:r>
          </w:p>
        </w:tc>
      </w:tr>
      <w:tr w:rsidR="00DA7FD4" w:rsidRPr="00FB53D1" w14:paraId="1C7563D7" w14:textId="77777777" w:rsidTr="00B836E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74E548E6" w14:textId="217123AE" w:rsidR="005976F7" w:rsidRPr="00B81F55" w:rsidRDefault="00841654" w:rsidP="00334FF4">
            <w:pPr>
              <w:spacing w:before="120" w:line="276" w:lineRule="auto"/>
              <w:contextualSpacing/>
              <w:jc w:val="center"/>
            </w:pPr>
            <w:r w:rsidRPr="00B81F55">
              <w:fldChar w:fldCharType="begin"/>
            </w:r>
            <w:r w:rsidRPr="00B81F55">
              <w:instrText xml:space="preserve"> REF _Ref13057109 \r \h </w:instrText>
            </w:r>
            <w:r w:rsidR="00B304B6" w:rsidRPr="00B81F55">
              <w:instrText xml:space="preserve"> \* MERGEFORMAT </w:instrText>
            </w:r>
            <w:r w:rsidRPr="00B81F55">
              <w:fldChar w:fldCharType="separate"/>
            </w:r>
            <w:r w:rsidRPr="00B81F55">
              <w:t>5.1.1</w:t>
            </w:r>
            <w:r w:rsidRPr="00B81F55">
              <w:fldChar w:fldCharType="end"/>
            </w:r>
          </w:p>
        </w:tc>
        <w:tc>
          <w:tcPr>
            <w:tcW w:w="2309" w:type="dxa"/>
            <w:shd w:val="clear" w:color="auto" w:fill="DEEAF6" w:themeFill="accent1" w:themeFillTint="33"/>
            <w:vAlign w:val="center"/>
          </w:tcPr>
          <w:p w14:paraId="584222EB" w14:textId="712A0A97" w:rsidR="005976F7" w:rsidRPr="00B81F55" w:rsidRDefault="005976F7" w:rsidP="00334FF4">
            <w:pPr>
              <w:spacing w:before="120" w:line="276" w:lineRule="auto"/>
              <w:contextualSpacing/>
              <w:cnfStyle w:val="000000100000" w:firstRow="0" w:lastRow="0" w:firstColumn="0" w:lastColumn="0" w:oddVBand="0" w:evenVBand="0" w:oddHBand="1" w:evenHBand="0" w:firstRowFirstColumn="0" w:firstRowLastColumn="0" w:lastRowFirstColumn="0" w:lastRowLastColumn="0"/>
              <w:rPr>
                <w:b/>
              </w:rPr>
            </w:pPr>
            <w:r w:rsidRPr="00B81F55">
              <w:t>CFI Codes for EMIR</w:t>
            </w:r>
          </w:p>
        </w:tc>
        <w:tc>
          <w:tcPr>
            <w:tcW w:w="1935" w:type="dxa"/>
            <w:shd w:val="clear" w:color="auto" w:fill="DEEAF6" w:themeFill="accent1" w:themeFillTint="33"/>
            <w:vAlign w:val="center"/>
          </w:tcPr>
          <w:p w14:paraId="7C427732" w14:textId="5286A1E8" w:rsidR="005976F7" w:rsidRPr="00B81F55" w:rsidRDefault="005976F7" w:rsidP="00334FF4">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rsidRPr="00B81F55">
              <w:t>Further Consultation</w:t>
            </w:r>
          </w:p>
        </w:tc>
        <w:tc>
          <w:tcPr>
            <w:tcW w:w="4137" w:type="dxa"/>
            <w:shd w:val="clear" w:color="auto" w:fill="DEEAF6" w:themeFill="accent1" w:themeFillTint="33"/>
            <w:vAlign w:val="center"/>
          </w:tcPr>
          <w:p w14:paraId="44793248" w14:textId="72A2FD57"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 xml:space="preserve">2020: </w:t>
            </w:r>
            <w:r w:rsidRPr="00B81F55">
              <w:rPr>
                <w:rFonts w:eastAsia="Times New Roman"/>
                <w:color w:val="000000"/>
                <w:lang w:eastAsia="en-GB"/>
              </w:rPr>
              <w:tab/>
              <w:t>None</w:t>
            </w:r>
          </w:p>
          <w:p w14:paraId="23FC72B8" w14:textId="753BC52B"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2021-2024:</w:t>
            </w:r>
            <w:r w:rsidRPr="00B81F55">
              <w:rPr>
                <w:rFonts w:eastAsia="Times New Roman"/>
                <w:color w:val="000000"/>
                <w:lang w:eastAsia="en-GB"/>
              </w:rPr>
              <w:tab/>
              <w:t>€260K</w:t>
            </w:r>
            <w:r w:rsidR="00B304B6" w:rsidRPr="00B81F55">
              <w:rPr>
                <w:rFonts w:eastAsia="Times New Roman"/>
                <w:color w:val="000000"/>
                <w:lang w:eastAsia="en-GB"/>
              </w:rPr>
              <w:t xml:space="preserve"> pa</w:t>
            </w:r>
          </w:p>
          <w:p w14:paraId="1CE3B399" w14:textId="41D8D1CB"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2025</w:t>
            </w:r>
            <w:r w:rsidR="00B304B6" w:rsidRPr="00B81F55">
              <w:rPr>
                <w:rFonts w:eastAsia="Times New Roman"/>
                <w:color w:val="000000"/>
                <w:lang w:eastAsia="en-GB"/>
              </w:rPr>
              <w:t>-</w:t>
            </w:r>
            <w:r w:rsidRPr="00B81F55">
              <w:rPr>
                <w:rFonts w:eastAsia="Times New Roman"/>
                <w:color w:val="000000"/>
                <w:lang w:eastAsia="en-GB"/>
              </w:rPr>
              <w:t>:</w:t>
            </w:r>
            <w:r w:rsidRPr="00B81F55">
              <w:rPr>
                <w:rFonts w:eastAsia="Times New Roman"/>
                <w:color w:val="000000"/>
                <w:lang w:eastAsia="en-GB"/>
              </w:rPr>
              <w:tab/>
              <w:t>€160K</w:t>
            </w:r>
            <w:r w:rsidR="00B304B6" w:rsidRPr="00B81F55">
              <w:rPr>
                <w:rFonts w:eastAsia="Times New Roman"/>
                <w:color w:val="000000"/>
                <w:lang w:eastAsia="en-GB"/>
              </w:rPr>
              <w:t xml:space="preserve"> pa</w:t>
            </w:r>
          </w:p>
        </w:tc>
      </w:tr>
      <w:tr w:rsidR="00DA7FD4" w:rsidRPr="00FB53D1" w14:paraId="1E44E180" w14:textId="77777777" w:rsidTr="00B836E9">
        <w:trPr>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156F6FD2" w14:textId="58DABCB6" w:rsidR="005976F7" w:rsidRPr="00B81F55" w:rsidRDefault="00841654" w:rsidP="00334FF4">
            <w:pPr>
              <w:spacing w:before="120" w:line="276" w:lineRule="auto"/>
              <w:contextualSpacing/>
              <w:jc w:val="center"/>
            </w:pPr>
            <w:r w:rsidRPr="00B81F55">
              <w:fldChar w:fldCharType="begin"/>
            </w:r>
            <w:r w:rsidRPr="00B81F55">
              <w:instrText xml:space="preserve"> REF _Ref13057129 \r \h </w:instrText>
            </w:r>
            <w:r w:rsidR="00B304B6" w:rsidRPr="00B81F55">
              <w:instrText xml:space="preserve"> \* MERGEFORMAT </w:instrText>
            </w:r>
            <w:r w:rsidRPr="00B81F55">
              <w:fldChar w:fldCharType="separate"/>
            </w:r>
            <w:r w:rsidRPr="00B81F55">
              <w:t>5.1.2</w:t>
            </w:r>
            <w:r w:rsidRPr="00B81F55">
              <w:fldChar w:fldCharType="end"/>
            </w:r>
          </w:p>
        </w:tc>
        <w:tc>
          <w:tcPr>
            <w:tcW w:w="2309" w:type="dxa"/>
            <w:shd w:val="clear" w:color="auto" w:fill="auto"/>
            <w:vAlign w:val="center"/>
          </w:tcPr>
          <w:p w14:paraId="5E83FE9A" w14:textId="23F1FC79" w:rsidR="005976F7" w:rsidRPr="00B81F55" w:rsidRDefault="005976F7" w:rsidP="00334FF4">
            <w:pPr>
              <w:spacing w:before="120" w:line="276" w:lineRule="auto"/>
              <w:contextualSpacing/>
              <w:cnfStyle w:val="000000000000" w:firstRow="0" w:lastRow="0" w:firstColumn="0" w:lastColumn="0" w:oddVBand="0" w:evenVBand="0" w:oddHBand="0" w:evenHBand="0" w:firstRowFirstColumn="0" w:firstRowLastColumn="0" w:lastRowFirstColumn="0" w:lastRowLastColumn="0"/>
              <w:rPr>
                <w:b/>
              </w:rPr>
            </w:pPr>
            <w:r w:rsidRPr="00B81F55">
              <w:t>Mapping to MiFID II Taxonomy</w:t>
            </w:r>
          </w:p>
        </w:tc>
        <w:tc>
          <w:tcPr>
            <w:tcW w:w="1935" w:type="dxa"/>
            <w:shd w:val="clear" w:color="auto" w:fill="auto"/>
            <w:vAlign w:val="center"/>
          </w:tcPr>
          <w:p w14:paraId="08CB4F70" w14:textId="205091DE" w:rsidR="005976F7" w:rsidRPr="00B81F55" w:rsidRDefault="005976F7" w:rsidP="00334FF4">
            <w:pPr>
              <w:spacing w:before="120" w:line="276" w:lineRule="auto"/>
              <w:contextualSpacing/>
              <w:jc w:val="center"/>
              <w:cnfStyle w:val="000000000000" w:firstRow="0" w:lastRow="0" w:firstColumn="0" w:lastColumn="0" w:oddVBand="0" w:evenVBand="0" w:oddHBand="0" w:evenHBand="0" w:firstRowFirstColumn="0" w:firstRowLastColumn="0" w:lastRowFirstColumn="0" w:lastRowLastColumn="0"/>
            </w:pPr>
            <w:r w:rsidRPr="00B81F55">
              <w:t>Further Consultation</w:t>
            </w:r>
          </w:p>
        </w:tc>
        <w:tc>
          <w:tcPr>
            <w:tcW w:w="4137" w:type="dxa"/>
            <w:shd w:val="clear" w:color="auto" w:fill="auto"/>
            <w:vAlign w:val="center"/>
          </w:tcPr>
          <w:p w14:paraId="7AB327F8" w14:textId="5582333B" w:rsidR="005976F7" w:rsidRPr="00B81F55" w:rsidRDefault="005976F7" w:rsidP="00334FF4">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 xml:space="preserve">2020: </w:t>
            </w:r>
            <w:r w:rsidRPr="00B81F55">
              <w:rPr>
                <w:rFonts w:eastAsia="Times New Roman"/>
                <w:color w:val="000000"/>
                <w:lang w:eastAsia="en-GB"/>
              </w:rPr>
              <w:tab/>
              <w:t>€</w:t>
            </w:r>
            <w:r w:rsidR="00B304B6" w:rsidRPr="00B81F55">
              <w:rPr>
                <w:rFonts w:eastAsia="Times New Roman"/>
                <w:color w:val="000000"/>
                <w:lang w:eastAsia="en-GB"/>
              </w:rPr>
              <w:t xml:space="preserve"> </w:t>
            </w:r>
            <w:r w:rsidRPr="00B81F55">
              <w:rPr>
                <w:rFonts w:eastAsia="Times New Roman"/>
                <w:color w:val="000000"/>
                <w:lang w:eastAsia="en-GB"/>
              </w:rPr>
              <w:t>30K</w:t>
            </w:r>
            <w:r w:rsidR="00B304B6" w:rsidRPr="00B81F55">
              <w:rPr>
                <w:rFonts w:eastAsia="Times New Roman"/>
                <w:color w:val="000000"/>
                <w:lang w:eastAsia="en-GB"/>
              </w:rPr>
              <w:t xml:space="preserve"> pa</w:t>
            </w:r>
          </w:p>
        </w:tc>
      </w:tr>
      <w:tr w:rsidR="00DA7FD4" w:rsidRPr="00FB53D1" w14:paraId="701CAF0B" w14:textId="77777777" w:rsidTr="00B836E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367AEA1D" w14:textId="0C72924C" w:rsidR="005976F7" w:rsidRPr="00B81F55" w:rsidRDefault="00841654" w:rsidP="00334FF4">
            <w:pPr>
              <w:spacing w:before="120" w:line="276" w:lineRule="auto"/>
              <w:contextualSpacing/>
              <w:jc w:val="center"/>
            </w:pPr>
            <w:r w:rsidRPr="00B81F55">
              <w:fldChar w:fldCharType="begin"/>
            </w:r>
            <w:r w:rsidRPr="00B81F55">
              <w:instrText xml:space="preserve"> REF _Ref13057143 \r \h </w:instrText>
            </w:r>
            <w:r w:rsidR="00B304B6" w:rsidRPr="00B81F55">
              <w:instrText xml:space="preserve"> \* MERGEFORMAT </w:instrText>
            </w:r>
            <w:r w:rsidRPr="00B81F55">
              <w:fldChar w:fldCharType="separate"/>
            </w:r>
            <w:r w:rsidRPr="00B81F55">
              <w:t>5.1.3</w:t>
            </w:r>
            <w:r w:rsidRPr="00B81F55">
              <w:fldChar w:fldCharType="end"/>
            </w:r>
          </w:p>
        </w:tc>
        <w:tc>
          <w:tcPr>
            <w:tcW w:w="2309" w:type="dxa"/>
            <w:shd w:val="clear" w:color="auto" w:fill="DEEAF6" w:themeFill="accent1" w:themeFillTint="33"/>
            <w:vAlign w:val="center"/>
          </w:tcPr>
          <w:p w14:paraId="538BA3B2" w14:textId="413201C6" w:rsidR="005976F7" w:rsidRPr="00B81F55" w:rsidRDefault="005976F7" w:rsidP="00334FF4">
            <w:pPr>
              <w:spacing w:before="120" w:line="276" w:lineRule="auto"/>
              <w:contextualSpacing/>
              <w:cnfStyle w:val="000000100000" w:firstRow="0" w:lastRow="0" w:firstColumn="0" w:lastColumn="0" w:oddVBand="0" w:evenVBand="0" w:oddHBand="1" w:evenHBand="0" w:firstRowFirstColumn="0" w:firstRowLastColumn="0" w:lastRowFirstColumn="0" w:lastRowLastColumn="0"/>
              <w:rPr>
                <w:b/>
              </w:rPr>
            </w:pPr>
            <w:r w:rsidRPr="00B81F55">
              <w:t>Default values in ISIN Templates</w:t>
            </w:r>
          </w:p>
        </w:tc>
        <w:tc>
          <w:tcPr>
            <w:tcW w:w="1935" w:type="dxa"/>
            <w:shd w:val="clear" w:color="auto" w:fill="DEEAF6" w:themeFill="accent1" w:themeFillTint="33"/>
            <w:vAlign w:val="center"/>
          </w:tcPr>
          <w:p w14:paraId="2F13C659" w14:textId="3F0B23D3" w:rsidR="005976F7" w:rsidRPr="00B81F55" w:rsidRDefault="005976F7" w:rsidP="00334FF4">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rsidRPr="00B81F55">
              <w:t>Further Consultation</w:t>
            </w:r>
          </w:p>
        </w:tc>
        <w:tc>
          <w:tcPr>
            <w:tcW w:w="4137" w:type="dxa"/>
            <w:shd w:val="clear" w:color="auto" w:fill="DEEAF6" w:themeFill="accent1" w:themeFillTint="33"/>
            <w:vAlign w:val="center"/>
          </w:tcPr>
          <w:p w14:paraId="24AD0047" w14:textId="6540497E" w:rsidR="005976F7" w:rsidRPr="00B81F55" w:rsidRDefault="005976F7" w:rsidP="00334FF4">
            <w:pPr>
              <w:pStyle w:val="ListParagraph"/>
              <w:numPr>
                <w:ilvl w:val="0"/>
                <w:numId w:val="46"/>
              </w:numPr>
              <w:spacing w:before="120" w:line="276" w:lineRule="auto"/>
              <w:ind w:left="319"/>
              <w:cnfStyle w:val="000000100000" w:firstRow="0" w:lastRow="0" w:firstColumn="0" w:lastColumn="0" w:oddVBand="0" w:evenVBand="0" w:oddHBand="1" w:evenHBand="0" w:firstRowFirstColumn="0" w:firstRowLastColumn="0" w:lastRowFirstColumn="0" w:lastRowLastColumn="0"/>
            </w:pPr>
            <w:r w:rsidRPr="00B81F55">
              <w:rPr>
                <w:rFonts w:eastAsia="Times New Roman"/>
                <w:color w:val="000000"/>
                <w:lang w:eastAsia="en-GB"/>
              </w:rPr>
              <w:t>2020</w:t>
            </w:r>
            <w:r w:rsidR="005B1723" w:rsidRPr="00B81F55">
              <w:rPr>
                <w:rFonts w:eastAsia="Times New Roman"/>
                <w:color w:val="000000"/>
                <w:lang w:eastAsia="en-GB"/>
              </w:rPr>
              <w:t>-</w:t>
            </w:r>
            <w:r w:rsidRPr="00B81F55">
              <w:rPr>
                <w:rFonts w:eastAsia="Times New Roman"/>
                <w:color w:val="000000"/>
                <w:lang w:eastAsia="en-GB"/>
              </w:rPr>
              <w:t xml:space="preserve">: </w:t>
            </w:r>
            <w:r w:rsidRPr="00B81F55">
              <w:rPr>
                <w:rFonts w:eastAsia="Times New Roman"/>
                <w:color w:val="000000"/>
                <w:lang w:eastAsia="en-GB"/>
              </w:rPr>
              <w:tab/>
              <w:t>None</w:t>
            </w:r>
          </w:p>
        </w:tc>
      </w:tr>
      <w:tr w:rsidR="00DA7FD4" w:rsidRPr="00FB53D1" w14:paraId="705106E6" w14:textId="77777777" w:rsidTr="00B836E9">
        <w:trPr>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489726B1" w14:textId="234777C7" w:rsidR="005976F7" w:rsidRPr="00B81F55" w:rsidRDefault="00841654" w:rsidP="00334FF4">
            <w:pPr>
              <w:spacing w:before="120" w:line="276" w:lineRule="auto"/>
              <w:contextualSpacing/>
              <w:jc w:val="center"/>
            </w:pPr>
            <w:r w:rsidRPr="00B81F55">
              <w:fldChar w:fldCharType="begin"/>
            </w:r>
            <w:r w:rsidRPr="00B81F55">
              <w:instrText xml:space="preserve"> REF _Ref13057151 \r \h </w:instrText>
            </w:r>
            <w:r w:rsidR="00B304B6" w:rsidRPr="00B81F55">
              <w:instrText xml:space="preserve"> \* MERGEFORMAT </w:instrText>
            </w:r>
            <w:r w:rsidRPr="00B81F55">
              <w:fldChar w:fldCharType="separate"/>
            </w:r>
            <w:r w:rsidRPr="00B81F55">
              <w:t>5.1.4</w:t>
            </w:r>
            <w:r w:rsidRPr="00B81F55">
              <w:fldChar w:fldCharType="end"/>
            </w:r>
          </w:p>
        </w:tc>
        <w:tc>
          <w:tcPr>
            <w:tcW w:w="2309" w:type="dxa"/>
            <w:shd w:val="clear" w:color="auto" w:fill="auto"/>
            <w:vAlign w:val="center"/>
          </w:tcPr>
          <w:p w14:paraId="1774318F" w14:textId="4F534551" w:rsidR="005976F7" w:rsidRPr="00B81F55" w:rsidRDefault="005976F7" w:rsidP="00334FF4">
            <w:pPr>
              <w:spacing w:before="120" w:line="276" w:lineRule="auto"/>
              <w:contextualSpacing/>
              <w:cnfStyle w:val="000000000000" w:firstRow="0" w:lastRow="0" w:firstColumn="0" w:lastColumn="0" w:oddVBand="0" w:evenVBand="0" w:oddHBand="0" w:evenHBand="0" w:firstRowFirstColumn="0" w:firstRowLastColumn="0" w:lastRowFirstColumn="0" w:lastRowLastColumn="0"/>
              <w:rPr>
                <w:b/>
              </w:rPr>
            </w:pPr>
            <w:r w:rsidRPr="00B81F55">
              <w:t>Underlying Identifiers</w:t>
            </w:r>
          </w:p>
        </w:tc>
        <w:tc>
          <w:tcPr>
            <w:tcW w:w="1935" w:type="dxa"/>
            <w:shd w:val="clear" w:color="auto" w:fill="auto"/>
            <w:vAlign w:val="center"/>
          </w:tcPr>
          <w:p w14:paraId="5F9DF877" w14:textId="4F81DDC2" w:rsidR="005976F7" w:rsidRPr="00B81F55" w:rsidRDefault="005976F7" w:rsidP="00334FF4">
            <w:pPr>
              <w:spacing w:before="120" w:line="276" w:lineRule="auto"/>
              <w:contextualSpacing/>
              <w:jc w:val="center"/>
              <w:cnfStyle w:val="000000000000" w:firstRow="0" w:lastRow="0" w:firstColumn="0" w:lastColumn="0" w:oddVBand="0" w:evenVBand="0" w:oddHBand="0" w:evenHBand="0" w:firstRowFirstColumn="0" w:firstRowLastColumn="0" w:lastRowFirstColumn="0" w:lastRowLastColumn="0"/>
            </w:pPr>
            <w:r w:rsidRPr="00B81F55">
              <w:t>Further Consultation</w:t>
            </w:r>
          </w:p>
        </w:tc>
        <w:tc>
          <w:tcPr>
            <w:tcW w:w="4137" w:type="dxa"/>
            <w:shd w:val="clear" w:color="auto" w:fill="auto"/>
            <w:vAlign w:val="center"/>
          </w:tcPr>
          <w:p w14:paraId="4A51CBF1" w14:textId="6E50657A" w:rsidR="005976F7" w:rsidRPr="00B81F55" w:rsidRDefault="005976F7" w:rsidP="00334FF4">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pPr>
            <w:r w:rsidRPr="00B81F55">
              <w:rPr>
                <w:rFonts w:eastAsia="Times New Roman"/>
                <w:color w:val="000000"/>
                <w:lang w:eastAsia="en-GB"/>
              </w:rPr>
              <w:t>2020</w:t>
            </w:r>
            <w:r w:rsidR="005B1723" w:rsidRPr="00B81F55">
              <w:rPr>
                <w:rFonts w:eastAsia="Times New Roman"/>
                <w:color w:val="000000"/>
                <w:lang w:eastAsia="en-GB"/>
              </w:rPr>
              <w:t>-</w:t>
            </w:r>
            <w:r w:rsidRPr="00B81F55">
              <w:rPr>
                <w:rFonts w:eastAsia="Times New Roman"/>
                <w:color w:val="000000"/>
                <w:lang w:eastAsia="en-GB"/>
              </w:rPr>
              <w:t xml:space="preserve">: </w:t>
            </w:r>
            <w:r w:rsidRPr="00B81F55">
              <w:rPr>
                <w:rFonts w:eastAsia="Times New Roman"/>
                <w:color w:val="000000"/>
                <w:lang w:eastAsia="en-GB"/>
              </w:rPr>
              <w:tab/>
              <w:t>None</w:t>
            </w:r>
          </w:p>
        </w:tc>
      </w:tr>
      <w:tr w:rsidR="00DA7FD4" w:rsidRPr="00FB53D1" w14:paraId="1AA491ED" w14:textId="77777777" w:rsidTr="00B836E9">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65B69281" w14:textId="2263170C" w:rsidR="005976F7" w:rsidRPr="00B81F55" w:rsidRDefault="00841654" w:rsidP="00334FF4">
            <w:pPr>
              <w:spacing w:before="120" w:line="276" w:lineRule="auto"/>
              <w:contextualSpacing/>
              <w:jc w:val="center"/>
            </w:pPr>
            <w:r w:rsidRPr="00B81F55">
              <w:fldChar w:fldCharType="begin"/>
            </w:r>
            <w:r w:rsidRPr="00B81F55">
              <w:instrText xml:space="preserve"> REF _Ref13057161 \r \h </w:instrText>
            </w:r>
            <w:r w:rsidR="00B304B6" w:rsidRPr="00B81F55">
              <w:instrText xml:space="preserve"> \* MERGEFORMAT </w:instrText>
            </w:r>
            <w:r w:rsidRPr="00B81F55">
              <w:fldChar w:fldCharType="separate"/>
            </w:r>
            <w:r w:rsidRPr="00B81F55">
              <w:t>5.1.5</w:t>
            </w:r>
            <w:r w:rsidRPr="00B81F55">
              <w:fldChar w:fldCharType="end"/>
            </w:r>
          </w:p>
        </w:tc>
        <w:tc>
          <w:tcPr>
            <w:tcW w:w="2309" w:type="dxa"/>
            <w:shd w:val="clear" w:color="auto" w:fill="DEEAF6" w:themeFill="accent1" w:themeFillTint="33"/>
            <w:vAlign w:val="center"/>
          </w:tcPr>
          <w:p w14:paraId="6F828C21" w14:textId="697FC507" w:rsidR="005976F7" w:rsidRPr="00B81F55" w:rsidRDefault="005976F7" w:rsidP="00334FF4">
            <w:pPr>
              <w:spacing w:before="120" w:line="276" w:lineRule="auto"/>
              <w:contextualSpacing/>
              <w:cnfStyle w:val="000000100000" w:firstRow="0" w:lastRow="0" w:firstColumn="0" w:lastColumn="0" w:oddVBand="0" w:evenVBand="0" w:oddHBand="1" w:evenHBand="0" w:firstRowFirstColumn="0" w:firstRowLastColumn="0" w:lastRowFirstColumn="0" w:lastRowLastColumn="0"/>
              <w:rPr>
                <w:b/>
              </w:rPr>
            </w:pPr>
            <w:r w:rsidRPr="00B81F55">
              <w:t>GUI Enhancements</w:t>
            </w:r>
          </w:p>
        </w:tc>
        <w:tc>
          <w:tcPr>
            <w:tcW w:w="1935" w:type="dxa"/>
            <w:shd w:val="clear" w:color="auto" w:fill="DEEAF6" w:themeFill="accent1" w:themeFillTint="33"/>
            <w:vAlign w:val="center"/>
          </w:tcPr>
          <w:p w14:paraId="7E46C173" w14:textId="6190D876" w:rsidR="005976F7" w:rsidRPr="00B81F55" w:rsidRDefault="005976F7" w:rsidP="00334FF4">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rsidRPr="00B81F55">
              <w:t>Further Consultation</w:t>
            </w:r>
          </w:p>
        </w:tc>
        <w:tc>
          <w:tcPr>
            <w:tcW w:w="4137" w:type="dxa"/>
            <w:shd w:val="clear" w:color="auto" w:fill="DEEAF6" w:themeFill="accent1" w:themeFillTint="33"/>
            <w:vAlign w:val="center"/>
          </w:tcPr>
          <w:p w14:paraId="7DCAAD75" w14:textId="77777777"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 xml:space="preserve">2020: </w:t>
            </w:r>
            <w:r w:rsidRPr="00B81F55">
              <w:rPr>
                <w:rFonts w:eastAsia="Times New Roman"/>
                <w:color w:val="000000"/>
                <w:lang w:eastAsia="en-GB"/>
              </w:rPr>
              <w:tab/>
              <w:t>None</w:t>
            </w:r>
          </w:p>
          <w:p w14:paraId="726C64ED" w14:textId="2A9CC412"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2021-2024:</w:t>
            </w:r>
            <w:r w:rsidRPr="00B81F55">
              <w:rPr>
                <w:rFonts w:eastAsia="Times New Roman"/>
                <w:color w:val="000000"/>
                <w:lang w:eastAsia="en-GB"/>
              </w:rPr>
              <w:tab/>
              <w:t>€105K</w:t>
            </w:r>
            <w:r w:rsidR="00B304B6" w:rsidRPr="00B81F55">
              <w:rPr>
                <w:rFonts w:eastAsia="Times New Roman"/>
                <w:color w:val="000000"/>
                <w:lang w:eastAsia="en-GB"/>
              </w:rPr>
              <w:t xml:space="preserve"> pa</w:t>
            </w:r>
          </w:p>
          <w:p w14:paraId="7B785588" w14:textId="49D541AD" w:rsidR="005976F7" w:rsidRPr="00B81F55" w:rsidRDefault="005976F7" w:rsidP="00334FF4">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B81F55">
              <w:rPr>
                <w:rFonts w:eastAsia="Times New Roman"/>
                <w:color w:val="000000"/>
                <w:lang w:eastAsia="en-GB"/>
              </w:rPr>
              <w:t>2025</w:t>
            </w:r>
            <w:r w:rsidR="00B304B6" w:rsidRPr="00B81F55">
              <w:rPr>
                <w:rFonts w:eastAsia="Times New Roman"/>
                <w:color w:val="000000"/>
                <w:lang w:eastAsia="en-GB"/>
              </w:rPr>
              <w:t>-</w:t>
            </w:r>
            <w:r w:rsidRPr="00B81F55">
              <w:rPr>
                <w:rFonts w:eastAsia="Times New Roman"/>
                <w:color w:val="000000"/>
                <w:lang w:eastAsia="en-GB"/>
              </w:rPr>
              <w:t>:</w:t>
            </w:r>
            <w:r w:rsidRPr="00B81F55">
              <w:rPr>
                <w:rFonts w:eastAsia="Times New Roman"/>
                <w:color w:val="000000"/>
                <w:lang w:eastAsia="en-GB"/>
              </w:rPr>
              <w:tab/>
              <w:t>€</w:t>
            </w:r>
            <w:r w:rsidR="00B304B6" w:rsidRPr="00B81F55">
              <w:rPr>
                <w:rFonts w:eastAsia="Times New Roman"/>
                <w:color w:val="000000"/>
                <w:lang w:eastAsia="en-GB"/>
              </w:rPr>
              <w:t xml:space="preserve"> </w:t>
            </w:r>
            <w:r w:rsidRPr="00B81F55">
              <w:rPr>
                <w:rFonts w:eastAsia="Times New Roman"/>
                <w:color w:val="000000"/>
                <w:lang w:eastAsia="en-GB"/>
              </w:rPr>
              <w:t xml:space="preserve">40K </w:t>
            </w:r>
            <w:r w:rsidR="00B304B6" w:rsidRPr="00B81F55">
              <w:rPr>
                <w:rFonts w:eastAsia="Times New Roman"/>
                <w:color w:val="000000"/>
                <w:lang w:eastAsia="en-GB"/>
              </w:rPr>
              <w:t>pa</w:t>
            </w:r>
          </w:p>
        </w:tc>
      </w:tr>
      <w:tr w:rsidR="00DA7FD4" w:rsidRPr="00FB53D1" w14:paraId="0F7ACE6F" w14:textId="77777777" w:rsidTr="00B836E9">
        <w:trPr>
          <w:trHeight w:val="693"/>
        </w:trPr>
        <w:tc>
          <w:tcPr>
            <w:cnfStyle w:val="001000000000" w:firstRow="0" w:lastRow="0" w:firstColumn="1" w:lastColumn="0" w:oddVBand="0" w:evenVBand="0" w:oddHBand="0" w:evenHBand="0" w:firstRowFirstColumn="0" w:firstRowLastColumn="0" w:lastRowFirstColumn="0" w:lastRowLastColumn="0"/>
            <w:tcW w:w="686" w:type="dxa"/>
            <w:vAlign w:val="center"/>
          </w:tcPr>
          <w:p w14:paraId="4104BF48" w14:textId="37B7CE46" w:rsidR="005976F7" w:rsidRPr="00B81F55" w:rsidRDefault="00841654" w:rsidP="00334FF4">
            <w:pPr>
              <w:spacing w:before="120" w:line="276" w:lineRule="auto"/>
              <w:contextualSpacing/>
              <w:jc w:val="center"/>
            </w:pPr>
            <w:r w:rsidRPr="00B81F55">
              <w:fldChar w:fldCharType="begin"/>
            </w:r>
            <w:r w:rsidRPr="00B81F55">
              <w:instrText xml:space="preserve"> REF _Ref13057175 \r \h </w:instrText>
            </w:r>
            <w:r w:rsidR="00B304B6" w:rsidRPr="00B81F55">
              <w:instrText xml:space="preserve"> \* MERGEFORMAT </w:instrText>
            </w:r>
            <w:r w:rsidRPr="00B81F55">
              <w:fldChar w:fldCharType="separate"/>
            </w:r>
            <w:r w:rsidRPr="00B81F55">
              <w:t>5.1.6</w:t>
            </w:r>
            <w:r w:rsidRPr="00B81F55">
              <w:fldChar w:fldCharType="end"/>
            </w:r>
          </w:p>
        </w:tc>
        <w:tc>
          <w:tcPr>
            <w:tcW w:w="2309" w:type="dxa"/>
            <w:tcBorders>
              <w:bottom w:val="single" w:sz="4" w:space="0" w:color="BDD6EE" w:themeColor="accent1" w:themeTint="66"/>
            </w:tcBorders>
            <w:shd w:val="clear" w:color="auto" w:fill="auto"/>
            <w:vAlign w:val="center"/>
          </w:tcPr>
          <w:p w14:paraId="4D85F468" w14:textId="07B189EB" w:rsidR="005976F7" w:rsidRPr="00B81F55" w:rsidRDefault="005976F7" w:rsidP="00334FF4">
            <w:pPr>
              <w:spacing w:before="120" w:line="276" w:lineRule="auto"/>
              <w:contextualSpacing/>
              <w:cnfStyle w:val="000000000000" w:firstRow="0" w:lastRow="0" w:firstColumn="0" w:lastColumn="0" w:oddVBand="0" w:evenVBand="0" w:oddHBand="0" w:evenHBand="0" w:firstRowFirstColumn="0" w:firstRowLastColumn="0" w:lastRowFirstColumn="0" w:lastRowLastColumn="0"/>
              <w:rPr>
                <w:b/>
              </w:rPr>
            </w:pPr>
            <w:r w:rsidRPr="00B81F55">
              <w:t>Other Technical Enhancements</w:t>
            </w:r>
          </w:p>
        </w:tc>
        <w:tc>
          <w:tcPr>
            <w:tcW w:w="1935" w:type="dxa"/>
            <w:tcBorders>
              <w:bottom w:val="single" w:sz="4" w:space="0" w:color="BDD6EE" w:themeColor="accent1" w:themeTint="66"/>
            </w:tcBorders>
            <w:shd w:val="clear" w:color="auto" w:fill="auto"/>
            <w:vAlign w:val="center"/>
          </w:tcPr>
          <w:p w14:paraId="26FE0C47" w14:textId="19C0490B" w:rsidR="005976F7" w:rsidRPr="00B81F55" w:rsidRDefault="005976F7" w:rsidP="00334FF4">
            <w:pPr>
              <w:spacing w:before="120" w:line="276" w:lineRule="auto"/>
              <w:contextualSpacing/>
              <w:jc w:val="center"/>
              <w:cnfStyle w:val="000000000000" w:firstRow="0" w:lastRow="0" w:firstColumn="0" w:lastColumn="0" w:oddVBand="0" w:evenVBand="0" w:oddHBand="0" w:evenHBand="0" w:firstRowFirstColumn="0" w:firstRowLastColumn="0" w:lastRowFirstColumn="0" w:lastRowLastColumn="0"/>
              <w:rPr>
                <w:b/>
              </w:rPr>
            </w:pPr>
            <w:r w:rsidRPr="00B81F55">
              <w:t>Further Consultation</w:t>
            </w:r>
          </w:p>
        </w:tc>
        <w:tc>
          <w:tcPr>
            <w:tcW w:w="4137" w:type="dxa"/>
            <w:tcBorders>
              <w:bottom w:val="single" w:sz="4" w:space="0" w:color="BDD6EE" w:themeColor="accent1" w:themeTint="66"/>
            </w:tcBorders>
            <w:shd w:val="clear" w:color="auto" w:fill="auto"/>
            <w:vAlign w:val="center"/>
          </w:tcPr>
          <w:p w14:paraId="7B29D91B" w14:textId="1D51D915" w:rsidR="005976F7" w:rsidRPr="00B81F55" w:rsidRDefault="005976F7" w:rsidP="00334FF4">
            <w:pPr>
              <w:pStyle w:val="ListParagraph"/>
              <w:numPr>
                <w:ilvl w:val="0"/>
                <w:numId w:val="47"/>
              </w:numPr>
              <w:spacing w:before="120" w:line="276" w:lineRule="auto"/>
              <w:cnfStyle w:val="000000000000" w:firstRow="0" w:lastRow="0" w:firstColumn="0" w:lastColumn="0" w:oddVBand="0" w:evenVBand="0" w:oddHBand="0" w:evenHBand="0" w:firstRowFirstColumn="0" w:firstRowLastColumn="0" w:lastRowFirstColumn="0" w:lastRowLastColumn="0"/>
              <w:rPr>
                <w:b/>
              </w:rPr>
            </w:pPr>
            <w:r w:rsidRPr="00B81F55">
              <w:rPr>
                <w:rFonts w:eastAsia="Times New Roman"/>
                <w:color w:val="000000"/>
                <w:lang w:eastAsia="en-GB"/>
              </w:rPr>
              <w:t>2020</w:t>
            </w:r>
            <w:r w:rsidR="005B1723" w:rsidRPr="00B81F55">
              <w:rPr>
                <w:rFonts w:eastAsia="Times New Roman"/>
                <w:color w:val="000000"/>
                <w:lang w:eastAsia="en-GB"/>
              </w:rPr>
              <w:t>-</w:t>
            </w:r>
            <w:r w:rsidRPr="00B81F55">
              <w:rPr>
                <w:rFonts w:eastAsia="Times New Roman"/>
                <w:color w:val="000000"/>
                <w:lang w:eastAsia="en-GB"/>
              </w:rPr>
              <w:t xml:space="preserve">: </w:t>
            </w:r>
            <w:r w:rsidRPr="00B81F55">
              <w:rPr>
                <w:rFonts w:eastAsia="Times New Roman"/>
                <w:color w:val="000000"/>
                <w:lang w:eastAsia="en-GB"/>
              </w:rPr>
              <w:tab/>
              <w:t>None</w:t>
            </w:r>
          </w:p>
        </w:tc>
      </w:tr>
      <w:tr w:rsidR="00DA7FD4" w:rsidRPr="00FB53D1" w14:paraId="156EDF99" w14:textId="77777777" w:rsidTr="00B836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86" w:type="dxa"/>
          </w:tcPr>
          <w:p w14:paraId="2CF85BBE" w14:textId="77777777" w:rsidR="00B60E86" w:rsidRPr="00B81F55" w:rsidRDefault="00B60E86" w:rsidP="00FB012C">
            <w:pPr>
              <w:spacing w:before="240" w:line="276" w:lineRule="auto"/>
            </w:pPr>
          </w:p>
        </w:tc>
        <w:tc>
          <w:tcPr>
            <w:tcW w:w="4244" w:type="dxa"/>
            <w:gridSpan w:val="2"/>
            <w:tcBorders>
              <w:top w:val="single" w:sz="4" w:space="0" w:color="BDD6EE" w:themeColor="accent1" w:themeTint="66"/>
              <w:bottom w:val="single" w:sz="4" w:space="0" w:color="9CC2E5" w:themeColor="accent1" w:themeTint="99"/>
            </w:tcBorders>
            <w:vAlign w:val="center"/>
          </w:tcPr>
          <w:p w14:paraId="3EEDF7BC" w14:textId="14BE417F" w:rsidR="00B60E86" w:rsidRPr="00B81F55" w:rsidRDefault="00B60E86" w:rsidP="00334FF4">
            <w:pPr>
              <w:spacing w:before="240" w:line="276" w:lineRule="auto"/>
              <w:cnfStyle w:val="000000100000" w:firstRow="0" w:lastRow="0" w:firstColumn="0" w:lastColumn="0" w:oddVBand="0" w:evenVBand="0" w:oddHBand="1" w:evenHBand="0" w:firstRowFirstColumn="0" w:firstRowLastColumn="0" w:lastRowFirstColumn="0" w:lastRowLastColumn="0"/>
            </w:pPr>
            <w:r w:rsidRPr="00B81F55">
              <w:t>TOTAL</w:t>
            </w:r>
            <w:r w:rsidR="001B5E20" w:rsidRPr="00B81F55">
              <w:rPr>
                <w:rStyle w:val="FootnoteReference"/>
                <w:bCs/>
              </w:rPr>
              <w:footnoteReference w:id="9"/>
            </w:r>
          </w:p>
        </w:tc>
        <w:tc>
          <w:tcPr>
            <w:tcW w:w="4137" w:type="dxa"/>
            <w:tcBorders>
              <w:top w:val="single" w:sz="4" w:space="0" w:color="BDD6EE" w:themeColor="accent1" w:themeTint="66"/>
              <w:bottom w:val="single" w:sz="4" w:space="0" w:color="9CC2E5" w:themeColor="accent1" w:themeTint="99"/>
            </w:tcBorders>
            <w:vAlign w:val="center"/>
          </w:tcPr>
          <w:p w14:paraId="4DC1EEF3" w14:textId="23F9B27F" w:rsidR="00B60E86" w:rsidRPr="00B81F55" w:rsidRDefault="00B60E86" w:rsidP="00DA7FD4">
            <w:pPr>
              <w:pStyle w:val="ListParagraph"/>
              <w:numPr>
                <w:ilvl w:val="0"/>
                <w:numId w:val="46"/>
              </w:numPr>
              <w:spacing w:before="120" w:line="276" w:lineRule="auto"/>
              <w:ind w:left="357" w:hanging="357"/>
              <w:cnfStyle w:val="000000100000" w:firstRow="0" w:lastRow="0" w:firstColumn="0" w:lastColumn="0" w:oddVBand="0" w:evenVBand="0" w:oddHBand="1" w:evenHBand="0" w:firstRowFirstColumn="0" w:firstRowLastColumn="0" w:lastRowFirstColumn="0" w:lastRowLastColumn="0"/>
              <w:rPr>
                <w:color w:val="000000"/>
              </w:rPr>
            </w:pPr>
            <w:r w:rsidRPr="00B81F55">
              <w:rPr>
                <w:color w:val="000000"/>
              </w:rPr>
              <w:t xml:space="preserve">2020: </w:t>
            </w:r>
            <w:r w:rsidRPr="00B81F55">
              <w:rPr>
                <w:color w:val="000000"/>
              </w:rPr>
              <w:tab/>
            </w:r>
            <w:proofErr w:type="gramStart"/>
            <w:r w:rsidRPr="00B81F55">
              <w:rPr>
                <w:color w:val="000000"/>
              </w:rPr>
              <w:t>€</w:t>
            </w:r>
            <w:r w:rsidR="00B304B6" w:rsidRPr="00B81F55">
              <w:rPr>
                <w:color w:val="000000"/>
              </w:rPr>
              <w:t xml:space="preserve">  </w:t>
            </w:r>
            <w:r w:rsidRPr="00B81F55">
              <w:rPr>
                <w:color w:val="000000"/>
              </w:rPr>
              <w:t>30</w:t>
            </w:r>
            <w:proofErr w:type="gramEnd"/>
            <w:r w:rsidRPr="00B81F55">
              <w:rPr>
                <w:color w:val="000000"/>
              </w:rPr>
              <w:t>K</w:t>
            </w:r>
          </w:p>
          <w:p w14:paraId="5E9D504F" w14:textId="52D3DEE4" w:rsidR="00B60E86" w:rsidRPr="00B81F55" w:rsidRDefault="001C11C7" w:rsidP="00022B6F">
            <w:pPr>
              <w:pStyle w:val="ListParagraph"/>
              <w:numPr>
                <w:ilvl w:val="0"/>
                <w:numId w:val="46"/>
              </w:numPr>
              <w:spacing w:before="240" w:line="276"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2021-2024:</w:t>
            </w:r>
            <w:r>
              <w:rPr>
                <w:color w:val="000000"/>
              </w:rPr>
              <w:tab/>
              <w:t>€36</w:t>
            </w:r>
            <w:r w:rsidR="00B60E86" w:rsidRPr="00B81F55">
              <w:rPr>
                <w:color w:val="000000"/>
              </w:rPr>
              <w:t>5K</w:t>
            </w:r>
            <w:r w:rsidR="00B304B6" w:rsidRPr="00B81F55">
              <w:rPr>
                <w:color w:val="000000"/>
              </w:rPr>
              <w:t xml:space="preserve"> pa </w:t>
            </w:r>
          </w:p>
          <w:p w14:paraId="4A45CB40" w14:textId="3C638824" w:rsidR="00B60E86" w:rsidRPr="00B81F55" w:rsidRDefault="001C11C7" w:rsidP="00DA7FD4">
            <w:pPr>
              <w:pStyle w:val="ListParagraph"/>
              <w:numPr>
                <w:ilvl w:val="0"/>
                <w:numId w:val="46"/>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b/>
                <w:color w:val="000000"/>
                <w:lang w:eastAsia="en-GB"/>
              </w:rPr>
            </w:pPr>
            <w:r>
              <w:rPr>
                <w:color w:val="000000"/>
              </w:rPr>
              <w:t>2025-:</w:t>
            </w:r>
            <w:r>
              <w:rPr>
                <w:color w:val="000000"/>
              </w:rPr>
              <w:tab/>
              <w:t>€20</w:t>
            </w:r>
            <w:r w:rsidR="00B60E86" w:rsidRPr="00B81F55">
              <w:rPr>
                <w:color w:val="000000"/>
              </w:rPr>
              <w:t>0K</w:t>
            </w:r>
            <w:r w:rsidR="00B304B6" w:rsidRPr="00B81F55">
              <w:rPr>
                <w:color w:val="000000"/>
              </w:rPr>
              <w:t xml:space="preserve"> pa </w:t>
            </w:r>
          </w:p>
        </w:tc>
      </w:tr>
    </w:tbl>
    <w:p w14:paraId="50715415" w14:textId="26B39228" w:rsidR="00AD57A8" w:rsidRDefault="00AD57A8" w:rsidP="00CC79AA"/>
    <w:p w14:paraId="51FACAEB" w14:textId="77777777" w:rsidR="00AD57A8" w:rsidRDefault="00AD57A8" w:rsidP="00CC79AA"/>
    <w:bookmarkStart w:id="34" w:name="_Ref13057109"/>
    <w:bookmarkStart w:id="35" w:name="_Toc13087128"/>
    <w:bookmarkStart w:id="36" w:name="_Toc13157216"/>
    <w:p w14:paraId="7B8D2E2A" w14:textId="5E9D566A" w:rsidR="0028746F" w:rsidRDefault="0028746F" w:rsidP="00BB1525">
      <w:pPr>
        <w:pStyle w:val="Heading3"/>
      </w:pPr>
      <w:r>
        <w:rPr>
          <w:noProof/>
          <w:lang w:eastAsia="en-GB"/>
        </w:rPr>
        <w:lastRenderedPageBreak/>
        <mc:AlternateContent>
          <mc:Choice Requires="wps">
            <w:drawing>
              <wp:anchor distT="45720" distB="45720" distL="114300" distR="114300" simplePos="0" relativeHeight="251417600" behindDoc="0" locked="0" layoutInCell="1" allowOverlap="1" wp14:anchorId="6CDA15D5" wp14:editId="190C3761">
                <wp:simplePos x="0" y="0"/>
                <wp:positionH relativeFrom="margin">
                  <wp:align>right</wp:align>
                </wp:positionH>
                <wp:positionV relativeFrom="paragraph">
                  <wp:posOffset>299499</wp:posOffset>
                </wp:positionV>
                <wp:extent cx="5716905" cy="1404620"/>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0425251C" w14:textId="026CCCE8" w:rsidR="00D52BA4" w:rsidRDefault="00D52BA4" w:rsidP="0028746F">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The DSB was originally set up specifically to generate OTC ISINs to meet industry’s needs for MiFID II RTS 22 / 23 transaction reporting.  </w:t>
                            </w:r>
                            <w:r>
                              <w:rPr>
                                <w:rStyle w:val="eop"/>
                                <w:rFonts w:ascii="Calibri" w:eastAsiaTheme="majorEastAsia" w:hAnsi="Calibri" w:cs="Calibri"/>
                                <w:sz w:val="22"/>
                                <w:szCs w:val="22"/>
                              </w:rPr>
                              <w:t> </w:t>
                            </w:r>
                          </w:p>
                          <w:p w14:paraId="200D5C6B" w14:textId="0109EF9A" w:rsidR="00D52BA4" w:rsidRDefault="00D52BA4" w:rsidP="0028746F">
                            <w:pPr>
                              <w:pStyle w:val="paragraph"/>
                              <w:spacing w:line="276" w:lineRule="auto"/>
                              <w:textAlignment w:val="baseline"/>
                            </w:pPr>
                            <w:r>
                              <w:rPr>
                                <w:rStyle w:val="normaltextrun"/>
                                <w:rFonts w:ascii="Calibri" w:hAnsi="Calibri" w:cs="Calibri"/>
                                <w:color w:val="000000"/>
                                <w:sz w:val="22"/>
                                <w:szCs w:val="22"/>
                              </w:rPr>
                              <w:t>Some DSB users have expanded their use of the DSB service for additional regulatory purposes such as generation of CFI codes for EMIR reporting. However, the DSB implementation to support EMIR has been ad-hoc and is not comprehensive, given the initial focus on OTC ISIN coverage.</w:t>
                            </w:r>
                            <w:r>
                              <w:rPr>
                                <w:rStyle w:val="eop"/>
                                <w:rFonts w:ascii="Calibri" w:eastAsiaTheme="majorEastAsia" w:hAnsi="Calibri" w:cs="Calibri"/>
                                <w:sz w:val="22"/>
                                <w:szCs w:val="22"/>
                              </w:rPr>
                              <w:t> </w:t>
                            </w:r>
                          </w:p>
                          <w:p w14:paraId="3B9F4605" w14:textId="77777777" w:rsidR="00D52BA4" w:rsidRDefault="00D52BA4" w:rsidP="0028746F">
                            <w:pPr>
                              <w:pStyle w:val="paragraph"/>
                              <w:spacing w:line="276" w:lineRule="auto"/>
                              <w:textAlignment w:val="baseline"/>
                            </w:pPr>
                            <w:r>
                              <w:rPr>
                                <w:rStyle w:val="normaltextrun"/>
                                <w:rFonts w:ascii="Calibri" w:hAnsi="Calibri" w:cs="Calibri"/>
                                <w:color w:val="000000"/>
                                <w:sz w:val="22"/>
                                <w:szCs w:val="22"/>
                              </w:rPr>
                              <w:t>The DSB would therefore like to understand whether industry would like the DSB to provide a comprehensive CFI generation service for all OTC derivative products in scope of EMIR so that CFI codes could be obtained from a central source, without the need to auto-generate the OTC ISIN or the OTC ISIN data record. </w:t>
                            </w:r>
                            <w:r>
                              <w:rPr>
                                <w:rStyle w:val="eop"/>
                                <w:rFonts w:ascii="Calibri" w:eastAsiaTheme="majorEastAsia" w:hAnsi="Calibri" w:cs="Calibri"/>
                                <w:sz w:val="22"/>
                                <w:szCs w:val="22"/>
                              </w:rPr>
                              <w:t> </w:t>
                            </w:r>
                          </w:p>
                          <w:p w14:paraId="2953D937" w14:textId="3FC75B63" w:rsidR="00D52BA4" w:rsidRDefault="00D52BA4" w:rsidP="0028746F">
                            <w:r>
                              <w:rPr>
                                <w:rStyle w:val="normaltextrun"/>
                                <w:rFonts w:ascii="Calibri" w:hAnsi="Calibri" w:cs="Calibri"/>
                                <w:b/>
                                <w:bCs/>
                                <w:color w:val="000000"/>
                              </w:rPr>
                              <w:t xml:space="preserve">CP1 Question: </w:t>
                            </w:r>
                            <w:r>
                              <w:rPr>
                                <w:rStyle w:val="normaltextrun"/>
                                <w:rFonts w:ascii="Calibri" w:hAnsi="Calibri" w:cs="Calibri"/>
                                <w:color w:val="000000"/>
                              </w:rPr>
                              <w:t>Should the DSB investigate the provision of a service that supports the creation, search and publication of CFI codes for all products in scope of EMIR? Given the wider product scope of EMIR vs MiFID, the DSB envisions such a CFI service to be independent of the existing ISIN generation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DA15D5" id="Text Box 2" o:spid="_x0000_s1027" type="#_x0000_t202" style="position:absolute;left:0;text-align:left;margin-left:398.95pt;margin-top:23.6pt;width:450.15pt;height:110.6pt;z-index:251417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">
                <v:textbox style="mso-fit-shape-to-text:t">
                  <w:txbxContent>
                    <w:p w14:paraId="0425251C" w14:textId="026CCCE8" w:rsidR="00D52BA4" w:rsidRDefault="00D52BA4" w:rsidP="0028746F">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The DSB was originally set up specifically to generate OTC ISINs to meet industry’s needs for MiFID II RTS 22 / 23 transaction reporting.  </w:t>
                      </w:r>
                      <w:r>
                        <w:rPr>
                          <w:rStyle w:val="eop"/>
                          <w:rFonts w:ascii="Calibri" w:eastAsiaTheme="majorEastAsia" w:hAnsi="Calibri" w:cs="Calibri"/>
                          <w:sz w:val="22"/>
                          <w:szCs w:val="22"/>
                        </w:rPr>
                        <w:t> </w:t>
                      </w:r>
                    </w:p>
                    <w:p w14:paraId="200D5C6B" w14:textId="0109EF9A" w:rsidR="00D52BA4" w:rsidRDefault="00D52BA4" w:rsidP="0028746F">
                      <w:pPr>
                        <w:pStyle w:val="paragraph"/>
                        <w:spacing w:line="276" w:lineRule="auto"/>
                        <w:textAlignment w:val="baseline"/>
                      </w:pPr>
                      <w:r>
                        <w:rPr>
                          <w:rStyle w:val="normaltextrun"/>
                          <w:rFonts w:ascii="Calibri" w:hAnsi="Calibri" w:cs="Calibri"/>
                          <w:color w:val="000000"/>
                          <w:sz w:val="22"/>
                          <w:szCs w:val="22"/>
                        </w:rPr>
                        <w:t>Some DSB users have expanded their use of the DSB service for additional regulatory purposes such as generation of CFI codes for EMIR reporting. However, the DSB implementation to support EMIR has been ad-hoc and is not comprehensive, given the initial focus on OTC ISIN coverage.</w:t>
                      </w:r>
                      <w:r>
                        <w:rPr>
                          <w:rStyle w:val="eop"/>
                          <w:rFonts w:ascii="Calibri" w:eastAsiaTheme="majorEastAsia" w:hAnsi="Calibri" w:cs="Calibri"/>
                          <w:sz w:val="22"/>
                          <w:szCs w:val="22"/>
                        </w:rPr>
                        <w:t> </w:t>
                      </w:r>
                    </w:p>
                    <w:p w14:paraId="3B9F4605" w14:textId="77777777" w:rsidR="00D52BA4" w:rsidRDefault="00D52BA4" w:rsidP="0028746F">
                      <w:pPr>
                        <w:pStyle w:val="paragraph"/>
                        <w:spacing w:line="276" w:lineRule="auto"/>
                        <w:textAlignment w:val="baseline"/>
                      </w:pPr>
                      <w:r>
                        <w:rPr>
                          <w:rStyle w:val="normaltextrun"/>
                          <w:rFonts w:ascii="Calibri" w:hAnsi="Calibri" w:cs="Calibri"/>
                          <w:color w:val="000000"/>
                          <w:sz w:val="22"/>
                          <w:szCs w:val="22"/>
                        </w:rPr>
                        <w:t>The DSB would therefore like to understand whether industry would like the DSB to provide a comprehensive CFI generation service for all OTC derivative products in scope of EMIR so that CFI codes could be obtained from a central source, without the need to auto-generate the OTC ISIN or the OTC ISIN data record. </w:t>
                      </w:r>
                      <w:r>
                        <w:rPr>
                          <w:rStyle w:val="eop"/>
                          <w:rFonts w:ascii="Calibri" w:eastAsiaTheme="majorEastAsia" w:hAnsi="Calibri" w:cs="Calibri"/>
                          <w:sz w:val="22"/>
                          <w:szCs w:val="22"/>
                        </w:rPr>
                        <w:t> </w:t>
                      </w:r>
                    </w:p>
                    <w:p w14:paraId="2953D937" w14:textId="3FC75B63" w:rsidR="00D52BA4" w:rsidRDefault="00D52BA4" w:rsidP="0028746F">
                      <w:r>
                        <w:rPr>
                          <w:rStyle w:val="normaltextrun"/>
                          <w:rFonts w:ascii="Calibri" w:hAnsi="Calibri" w:cs="Calibri"/>
                          <w:b/>
                          <w:bCs/>
                          <w:color w:val="000000"/>
                        </w:rPr>
                        <w:t xml:space="preserve">CP1 Question: </w:t>
                      </w:r>
                      <w:r>
                        <w:rPr>
                          <w:rStyle w:val="normaltextrun"/>
                          <w:rFonts w:ascii="Calibri" w:hAnsi="Calibri" w:cs="Calibri"/>
                          <w:color w:val="000000"/>
                        </w:rPr>
                        <w:t>Should the DSB investigate the provision of a service that supports the creation, search and publication of CFI codes for all products in scope of EMIR? Given the wider product scope of EMIR vs MiFID, the DSB envisions such a CFI service to be independent of the existing ISIN generation service.</w:t>
                      </w:r>
                    </w:p>
                  </w:txbxContent>
                </v:textbox>
                <w10:wrap type="square" anchorx="margin"/>
              </v:shape>
            </w:pict>
          </mc:Fallback>
        </mc:AlternateContent>
      </w:r>
      <w:r>
        <w:t>Q1.1 – CFI CODES FOR EMIR</w:t>
      </w:r>
      <w:bookmarkEnd w:id="34"/>
      <w:bookmarkEnd w:id="35"/>
      <w:bookmarkEnd w:id="36"/>
    </w:p>
    <w:p w14:paraId="485F0B12" w14:textId="6D4FAC81" w:rsidR="00061EEA" w:rsidRDefault="00061EEA" w:rsidP="00CC79AA"/>
    <w:p w14:paraId="2499B113" w14:textId="7D3AD2F4" w:rsidR="0028746F" w:rsidRDefault="0028746F" w:rsidP="00CC79AA">
      <w:pPr>
        <w:rPr>
          <w:u w:val="single"/>
        </w:rPr>
      </w:pPr>
      <w:r>
        <w:rPr>
          <w:u w:val="single"/>
        </w:rPr>
        <w:t xml:space="preserve">Industry </w:t>
      </w:r>
      <w:r w:rsidR="007121CF">
        <w:rPr>
          <w:u w:val="single"/>
        </w:rPr>
        <w:t>Responses</w:t>
      </w:r>
    </w:p>
    <w:p w14:paraId="052C7578" w14:textId="77AE902B" w:rsidR="0028746F" w:rsidRPr="00BB1C2A" w:rsidRDefault="0028746F" w:rsidP="0028746F">
      <w:pPr>
        <w:spacing w:after="240" w:line="276" w:lineRule="auto"/>
      </w:pPr>
      <w:r>
        <w:t xml:space="preserve">The DSB received 14 responses, </w:t>
      </w:r>
      <w:r w:rsidR="007121CF">
        <w:t>with a small majority in favour of further exploration as summarised below</w:t>
      </w:r>
      <w:r>
        <w:t>.</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28746F" w:rsidRPr="00CA5767" w14:paraId="7D58B35D" w14:textId="77777777" w:rsidTr="001307B7">
        <w:trPr>
          <w:trHeight w:val="288"/>
        </w:trPr>
        <w:tc>
          <w:tcPr>
            <w:tcW w:w="2127" w:type="dxa"/>
            <w:vMerge w:val="restart"/>
            <w:shd w:val="clear" w:color="auto" w:fill="auto"/>
            <w:noWrap/>
            <w:vAlign w:val="center"/>
            <w:hideMark/>
          </w:tcPr>
          <w:p w14:paraId="15A33385" w14:textId="77777777" w:rsidR="0028746F" w:rsidRPr="00CA5767" w:rsidRDefault="0028746F" w:rsidP="00404046">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30FC2E43" w14:textId="77777777" w:rsidR="0028746F" w:rsidRPr="00CA5767" w:rsidRDefault="0028746F" w:rsidP="00404046">
            <w:pPr>
              <w:spacing w:after="0" w:line="240" w:lineRule="auto"/>
              <w:jc w:val="center"/>
              <w:rPr>
                <w:rFonts w:ascii="Calibri" w:eastAsia="Times New Roman" w:hAnsi="Calibri" w:cs="Calibri"/>
                <w:b/>
                <w:bCs/>
                <w:color w:val="000000"/>
                <w:sz w:val="21"/>
                <w:szCs w:val="21"/>
                <w:lang w:eastAsia="en-GB"/>
              </w:rPr>
            </w:pPr>
            <w:r w:rsidRPr="00CA5767">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55879BFA" w14:textId="77777777" w:rsidR="0028746F" w:rsidRPr="00CA5767" w:rsidRDefault="0028746F" w:rsidP="00404046">
            <w:pPr>
              <w:spacing w:after="0" w:line="240" w:lineRule="auto"/>
              <w:jc w:val="center"/>
              <w:rPr>
                <w:rFonts w:ascii="Calibri" w:eastAsia="Times New Roman" w:hAnsi="Calibri" w:cs="Calibri"/>
                <w:b/>
                <w:bCs/>
                <w:color w:val="000000"/>
                <w:sz w:val="21"/>
                <w:szCs w:val="21"/>
                <w:lang w:eastAsia="en-GB"/>
              </w:rPr>
            </w:pPr>
            <w:r w:rsidRPr="00CA5767">
              <w:rPr>
                <w:rFonts w:ascii="Calibri" w:eastAsia="Times New Roman" w:hAnsi="Calibri" w:cs="Calibri"/>
                <w:b/>
                <w:bCs/>
                <w:color w:val="000000"/>
                <w:sz w:val="21"/>
                <w:szCs w:val="21"/>
                <w:lang w:eastAsia="en-GB"/>
              </w:rPr>
              <w:t>No</w:t>
            </w:r>
          </w:p>
        </w:tc>
      </w:tr>
      <w:tr w:rsidR="0028746F" w:rsidRPr="00CA5767" w14:paraId="5898CFC9" w14:textId="77777777" w:rsidTr="001307B7">
        <w:trPr>
          <w:trHeight w:val="288"/>
        </w:trPr>
        <w:tc>
          <w:tcPr>
            <w:tcW w:w="2127" w:type="dxa"/>
            <w:vMerge/>
            <w:vAlign w:val="center"/>
            <w:hideMark/>
          </w:tcPr>
          <w:p w14:paraId="4EE5E11C" w14:textId="77777777" w:rsidR="0028746F" w:rsidRPr="00CA5767" w:rsidRDefault="0028746F" w:rsidP="00404046">
            <w:pPr>
              <w:spacing w:after="0" w:line="240" w:lineRule="auto"/>
              <w:rPr>
                <w:rFonts w:ascii="Times New Roman" w:eastAsia="Times New Roman" w:hAnsi="Times New Roman" w:cs="Times New Roman"/>
                <w:sz w:val="24"/>
                <w:szCs w:val="24"/>
                <w:lang w:eastAsia="en-GB"/>
              </w:rPr>
            </w:pPr>
          </w:p>
        </w:tc>
        <w:tc>
          <w:tcPr>
            <w:tcW w:w="289" w:type="dxa"/>
            <w:shd w:val="clear" w:color="000000" w:fill="63BE7B"/>
            <w:noWrap/>
            <w:vAlign w:val="center"/>
            <w:hideMark/>
          </w:tcPr>
          <w:p w14:paraId="63F9BF6B" w14:textId="77777777" w:rsidR="0028746F" w:rsidRPr="00CA5767" w:rsidRDefault="0028746F" w:rsidP="00404046">
            <w:pPr>
              <w:spacing w:after="0" w:line="240" w:lineRule="auto"/>
              <w:jc w:val="center"/>
              <w:rPr>
                <w:rFonts w:ascii="Calibri" w:eastAsia="Times New Roman" w:hAnsi="Calibri" w:cs="Calibri"/>
                <w:b/>
                <w:bCs/>
                <w:color w:val="000000"/>
                <w:sz w:val="21"/>
                <w:szCs w:val="21"/>
                <w:lang w:eastAsia="en-GB"/>
              </w:rPr>
            </w:pPr>
            <w:r w:rsidRPr="00CA5767">
              <w:rPr>
                <w:rFonts w:ascii="Calibri" w:eastAsia="Times New Roman" w:hAnsi="Calibri" w:cs="Calibri"/>
                <w:b/>
                <w:bCs/>
                <w:color w:val="000000"/>
                <w:sz w:val="21"/>
                <w:szCs w:val="21"/>
                <w:lang w:eastAsia="en-GB"/>
              </w:rPr>
              <w:t>8</w:t>
            </w:r>
          </w:p>
        </w:tc>
        <w:tc>
          <w:tcPr>
            <w:tcW w:w="656" w:type="dxa"/>
            <w:shd w:val="clear" w:color="000000" w:fill="E0E383"/>
            <w:noWrap/>
            <w:vAlign w:val="center"/>
            <w:hideMark/>
          </w:tcPr>
          <w:p w14:paraId="7F315A50" w14:textId="77777777" w:rsidR="0028746F" w:rsidRPr="00CA5767" w:rsidRDefault="0028746F" w:rsidP="00404046">
            <w:pPr>
              <w:spacing w:after="0" w:line="240" w:lineRule="auto"/>
              <w:jc w:val="center"/>
              <w:rPr>
                <w:rFonts w:ascii="Calibri" w:eastAsia="Times New Roman" w:hAnsi="Calibri" w:cs="Calibri"/>
                <w:b/>
                <w:bCs/>
                <w:color w:val="000000"/>
                <w:sz w:val="21"/>
                <w:szCs w:val="21"/>
                <w:lang w:eastAsia="en-GB"/>
              </w:rPr>
            </w:pPr>
            <w:r w:rsidRPr="00CA5767">
              <w:rPr>
                <w:rFonts w:ascii="Calibri" w:eastAsia="Times New Roman" w:hAnsi="Calibri" w:cs="Calibri"/>
                <w:b/>
                <w:bCs/>
                <w:color w:val="000000"/>
                <w:sz w:val="21"/>
                <w:szCs w:val="21"/>
                <w:lang w:eastAsia="en-GB"/>
              </w:rPr>
              <w:t>6</w:t>
            </w:r>
          </w:p>
        </w:tc>
      </w:tr>
      <w:tr w:rsidR="0028746F" w:rsidRPr="00CA5767" w14:paraId="2EA8629C" w14:textId="77777777" w:rsidTr="001307B7">
        <w:trPr>
          <w:trHeight w:val="288"/>
        </w:trPr>
        <w:tc>
          <w:tcPr>
            <w:tcW w:w="2127" w:type="dxa"/>
            <w:shd w:val="clear" w:color="auto" w:fill="auto"/>
            <w:noWrap/>
            <w:vAlign w:val="center"/>
            <w:hideMark/>
          </w:tcPr>
          <w:p w14:paraId="796836A5" w14:textId="77777777" w:rsidR="0028746F" w:rsidRPr="00CA5767" w:rsidRDefault="0028746F" w:rsidP="00404046">
            <w:pPr>
              <w:spacing w:after="0" w:line="240" w:lineRule="auto"/>
              <w:jc w:val="right"/>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2E0555F9" w14:textId="77777777" w:rsidR="0028746F" w:rsidRPr="00CA5767" w:rsidRDefault="0028746F" w:rsidP="00404046">
            <w:pPr>
              <w:spacing w:after="0" w:line="240" w:lineRule="auto"/>
              <w:jc w:val="center"/>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1DBFF904" w14:textId="77777777" w:rsidR="0028746F" w:rsidRPr="00CA5767" w:rsidRDefault="0028746F" w:rsidP="00404046">
            <w:pPr>
              <w:spacing w:after="0" w:line="240" w:lineRule="auto"/>
              <w:jc w:val="center"/>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2</w:t>
            </w:r>
          </w:p>
        </w:tc>
      </w:tr>
      <w:tr w:rsidR="0028746F" w:rsidRPr="00CA5767" w14:paraId="6F5E14C8" w14:textId="77777777" w:rsidTr="001307B7">
        <w:trPr>
          <w:trHeight w:val="288"/>
        </w:trPr>
        <w:tc>
          <w:tcPr>
            <w:tcW w:w="2127" w:type="dxa"/>
            <w:shd w:val="clear" w:color="auto" w:fill="auto"/>
            <w:noWrap/>
            <w:vAlign w:val="center"/>
            <w:hideMark/>
          </w:tcPr>
          <w:p w14:paraId="0CDBD5B7" w14:textId="77777777" w:rsidR="0028746F" w:rsidRPr="00CA5767" w:rsidRDefault="0028746F" w:rsidP="00404046">
            <w:pPr>
              <w:spacing w:after="0" w:line="240" w:lineRule="auto"/>
              <w:jc w:val="right"/>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68A27531" w14:textId="77777777" w:rsidR="0028746F" w:rsidRPr="00CA5767" w:rsidRDefault="0028746F" w:rsidP="00404046">
            <w:pPr>
              <w:spacing w:after="0" w:line="240" w:lineRule="auto"/>
              <w:jc w:val="center"/>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3B76BCFB" w14:textId="77777777" w:rsidR="0028746F" w:rsidRPr="00CA5767" w:rsidRDefault="0028746F" w:rsidP="00404046">
            <w:pPr>
              <w:spacing w:after="0" w:line="240" w:lineRule="auto"/>
              <w:jc w:val="center"/>
              <w:rPr>
                <w:rFonts w:ascii="Calibri" w:eastAsia="Times New Roman" w:hAnsi="Calibri" w:cs="Calibri"/>
                <w:color w:val="000000"/>
                <w:sz w:val="21"/>
                <w:szCs w:val="21"/>
                <w:lang w:eastAsia="en-GB"/>
              </w:rPr>
            </w:pPr>
            <w:r w:rsidRPr="00CA5767">
              <w:rPr>
                <w:rFonts w:ascii="Calibri" w:eastAsia="Times New Roman" w:hAnsi="Calibri" w:cs="Calibri"/>
                <w:color w:val="000000"/>
                <w:sz w:val="21"/>
                <w:szCs w:val="21"/>
                <w:lang w:eastAsia="en-GB"/>
              </w:rPr>
              <w:t>4</w:t>
            </w:r>
          </w:p>
        </w:tc>
      </w:tr>
    </w:tbl>
    <w:p w14:paraId="4979E417" w14:textId="55045318" w:rsidR="0028746F" w:rsidRDefault="0028746F" w:rsidP="0028746F">
      <w:pPr>
        <w:spacing w:before="240" w:after="120" w:line="276" w:lineRule="auto"/>
      </w:pPr>
      <w:r>
        <w:t xml:space="preserve">Respondents who did not </w:t>
      </w:r>
      <w:r w:rsidR="00C84B81">
        <w:t xml:space="preserve">wish </w:t>
      </w:r>
      <w:r>
        <w:t xml:space="preserve">the DSB </w:t>
      </w:r>
      <w:r w:rsidR="00C84B81">
        <w:t xml:space="preserve">to </w:t>
      </w:r>
      <w:r>
        <w:t>provide a CFI service, cite</w:t>
      </w:r>
      <w:r w:rsidR="00C84B81">
        <w:t>d</w:t>
      </w:r>
      <w:r>
        <w:t xml:space="preserve"> two primary themes:</w:t>
      </w:r>
    </w:p>
    <w:p w14:paraId="643024D7" w14:textId="7EDDB35C" w:rsidR="0028746F" w:rsidRPr="00C026EC" w:rsidRDefault="0028746F" w:rsidP="0028746F">
      <w:pPr>
        <w:pStyle w:val="ListParagraph"/>
        <w:numPr>
          <w:ilvl w:val="0"/>
          <w:numId w:val="25"/>
        </w:numPr>
        <w:spacing w:after="120" w:line="276" w:lineRule="auto"/>
      </w:pPr>
      <w:r w:rsidRPr="00C026EC">
        <w:t xml:space="preserve">a view that commercial service providers should fill the gap </w:t>
      </w:r>
      <w:r w:rsidR="00C84B81">
        <w:t xml:space="preserve">in the market </w:t>
      </w:r>
      <w:r w:rsidR="007121CF">
        <w:t>need</w:t>
      </w:r>
    </w:p>
    <w:p w14:paraId="7E9E9CD0" w14:textId="77777777" w:rsidR="007121CF" w:rsidRDefault="0028746F" w:rsidP="0028746F">
      <w:pPr>
        <w:pStyle w:val="ListParagraph"/>
        <w:numPr>
          <w:ilvl w:val="0"/>
          <w:numId w:val="25"/>
        </w:numPr>
        <w:spacing w:after="120" w:line="276" w:lineRule="auto"/>
      </w:pPr>
      <w:r w:rsidRPr="00C026EC">
        <w:t>that the creation of ISIN and CFI codes should remain linked i.e. th</w:t>
      </w:r>
      <w:r>
        <w:t>at the current approach of expanding the ISIN universe in order to cater for growing CFI needs was acceptable</w:t>
      </w:r>
    </w:p>
    <w:p w14:paraId="3BBE635A" w14:textId="4DD81D0A" w:rsidR="0028746F" w:rsidRDefault="0028746F" w:rsidP="0028746F">
      <w:pPr>
        <w:spacing w:before="240" w:after="120" w:line="276" w:lineRule="auto"/>
      </w:pPr>
      <w:r>
        <w:t xml:space="preserve">Respondents who wanted the DSB to investigate </w:t>
      </w:r>
      <w:r w:rsidR="00044F25">
        <w:t xml:space="preserve">the service </w:t>
      </w:r>
      <w:r>
        <w:t>further</w:t>
      </w:r>
      <w:r w:rsidR="00044F25">
        <w:t>,</w:t>
      </w:r>
      <w:r>
        <w:t xml:space="preserve"> listed the following as some of the benefits of a stand-alone CFI service being provided by the DSB:</w:t>
      </w:r>
    </w:p>
    <w:p w14:paraId="11F65927" w14:textId="77777777" w:rsidR="0028746F" w:rsidRDefault="0028746F" w:rsidP="0028746F">
      <w:pPr>
        <w:pStyle w:val="ListParagraph"/>
        <w:numPr>
          <w:ilvl w:val="0"/>
          <w:numId w:val="24"/>
        </w:numPr>
        <w:spacing w:after="120" w:line="276" w:lineRule="auto"/>
      </w:pPr>
      <w:r>
        <w:t xml:space="preserve">availability of </w:t>
      </w:r>
      <w:r w:rsidRPr="008E4AB1">
        <w:t xml:space="preserve">consistent and standardized </w:t>
      </w:r>
      <w:r>
        <w:t xml:space="preserve">OTC derivative </w:t>
      </w:r>
      <w:r w:rsidRPr="008E4AB1">
        <w:t>CFI structure</w:t>
      </w:r>
      <w:r>
        <w:t xml:space="preserve"> from a single source </w:t>
      </w:r>
    </w:p>
    <w:p w14:paraId="32C6DE66" w14:textId="77777777" w:rsidR="0028746F" w:rsidRDefault="0028746F" w:rsidP="0028746F">
      <w:pPr>
        <w:pStyle w:val="ListParagraph"/>
        <w:numPr>
          <w:ilvl w:val="0"/>
          <w:numId w:val="24"/>
        </w:numPr>
        <w:spacing w:before="240" w:after="120" w:line="276" w:lineRule="auto"/>
      </w:pPr>
      <w:r>
        <w:t>i</w:t>
      </w:r>
      <w:r w:rsidRPr="00A36481">
        <w:t>ncreased efficiencies through automation</w:t>
      </w:r>
      <w:r>
        <w:t xml:space="preserve"> and distribution based on standardization, as coverage is improved </w:t>
      </w:r>
    </w:p>
    <w:p w14:paraId="124EAF7F" w14:textId="77777777" w:rsidR="0028746F" w:rsidRDefault="0028746F" w:rsidP="0028746F">
      <w:pPr>
        <w:pStyle w:val="ListParagraph"/>
        <w:numPr>
          <w:ilvl w:val="0"/>
          <w:numId w:val="24"/>
        </w:numPr>
        <w:spacing w:after="120" w:line="276" w:lineRule="auto"/>
      </w:pPr>
      <w:r>
        <w:t xml:space="preserve">reduced </w:t>
      </w:r>
      <w:r w:rsidRPr="00A36481">
        <w:t xml:space="preserve">matching errors </w:t>
      </w:r>
      <w:r>
        <w:t>and thus fewer trade breaks in light of the data discrepancies arising where no single CFI data source exists</w:t>
      </w:r>
    </w:p>
    <w:p w14:paraId="6FAF56B4" w14:textId="77777777" w:rsidR="0028746F" w:rsidRDefault="0028746F" w:rsidP="0028746F">
      <w:pPr>
        <w:pStyle w:val="ListParagraph"/>
        <w:numPr>
          <w:ilvl w:val="0"/>
          <w:numId w:val="24"/>
        </w:numPr>
        <w:spacing w:after="120" w:line="276" w:lineRule="auto"/>
      </w:pPr>
      <w:r>
        <w:lastRenderedPageBreak/>
        <w:t xml:space="preserve">prevent the unnecessary creation of ISINs by users who are only seeking a CFI code, as the scope of EMIR Level III is broader than that of RTS-23  </w:t>
      </w:r>
    </w:p>
    <w:p w14:paraId="349E20BE" w14:textId="605DE539" w:rsidR="0028746F" w:rsidRDefault="0028746F" w:rsidP="0028746F">
      <w:pPr>
        <w:spacing w:after="120" w:line="276" w:lineRule="auto"/>
      </w:pPr>
      <w:r w:rsidRPr="009E1B94">
        <w:t xml:space="preserve">If a stand-alone expanded CFI service </w:t>
      </w:r>
      <w:r w:rsidR="007121CF">
        <w:t>were</w:t>
      </w:r>
      <w:r w:rsidRPr="009E1B94">
        <w:t xml:space="preserve"> to be provided, some users stated a preference for current user connections to be leveraged to deliver expanded CFI coverage so that users would not need to creat</w:t>
      </w:r>
      <w:r w:rsidR="000976E0">
        <w:t>e</w:t>
      </w:r>
      <w:r w:rsidRPr="009E1B94">
        <w:t xml:space="preserve"> new API and/or GUI accounts to support the additional service. </w:t>
      </w:r>
    </w:p>
    <w:p w14:paraId="4ABA550F" w14:textId="54517715" w:rsidR="007121CF" w:rsidRDefault="007121CF" w:rsidP="001B5E20">
      <w:pPr>
        <w:spacing w:before="240"/>
        <w:rPr>
          <w:u w:val="single"/>
        </w:rPr>
      </w:pPr>
      <w:r>
        <w:rPr>
          <w:u w:val="single"/>
        </w:rPr>
        <w:t>Analysis of Responses</w:t>
      </w:r>
    </w:p>
    <w:p w14:paraId="0FCE79B7" w14:textId="3B5EF758" w:rsidR="000E66BD" w:rsidRDefault="007121CF" w:rsidP="0028746F">
      <w:r>
        <w:t>The feedback demonstrate</w:t>
      </w:r>
      <w:r w:rsidR="000E66BD">
        <w:t>d</w:t>
      </w:r>
      <w:r>
        <w:t xml:space="preserve"> a clear market need for such a service, but </w:t>
      </w:r>
      <w:r w:rsidR="000E66BD">
        <w:t xml:space="preserve">responses also </w:t>
      </w:r>
      <w:r w:rsidR="00142E39">
        <w:t>highlighted</w:t>
      </w:r>
      <w:r w:rsidR="000E66BD">
        <w:t xml:space="preserve"> a series of concerns that would need to be addressed if the DSB were to implement such a service. Taking the concerns in turn:</w:t>
      </w:r>
    </w:p>
    <w:p w14:paraId="19F278AE" w14:textId="060C6668" w:rsidR="000E66BD" w:rsidRDefault="000E66BD" w:rsidP="00D56276">
      <w:pPr>
        <w:pStyle w:val="ListParagraph"/>
        <w:numPr>
          <w:ilvl w:val="0"/>
          <w:numId w:val="38"/>
        </w:numPr>
        <w:rPr>
          <w:i/>
        </w:rPr>
      </w:pPr>
      <w:r w:rsidRPr="00BB1525">
        <w:rPr>
          <w:i/>
        </w:rPr>
        <w:t>should the service be provided by the DSB under its cost recovery model or should it be provided by commercial providers?</w:t>
      </w:r>
    </w:p>
    <w:p w14:paraId="24C16A4A" w14:textId="3F02B865" w:rsidR="000E66BD" w:rsidRDefault="000E66BD" w:rsidP="00D56276">
      <w:pPr>
        <w:pStyle w:val="ListParagraph"/>
      </w:pPr>
      <w:r>
        <w:t xml:space="preserve">The DSB views this question as needing to be addressed by industry via the existing consultation process. The DSB </w:t>
      </w:r>
      <w:r w:rsidR="00044F25">
        <w:t xml:space="preserve">view is </w:t>
      </w:r>
      <w:r>
        <w:t xml:space="preserve">that proceeding to implementation within the </w:t>
      </w:r>
      <w:r w:rsidR="00F301A7">
        <w:t xml:space="preserve">ISIN </w:t>
      </w:r>
      <w:r>
        <w:t xml:space="preserve">cost recovery model should only </w:t>
      </w:r>
      <w:r w:rsidR="00044F25">
        <w:t xml:space="preserve">occur </w:t>
      </w:r>
      <w:r>
        <w:t xml:space="preserve">if there is sufficient agreement in industry for </w:t>
      </w:r>
      <w:r w:rsidR="00044F25">
        <w:t xml:space="preserve">implementation using the DSB’s existing cost recovery </w:t>
      </w:r>
      <w:r>
        <w:t>model</w:t>
      </w:r>
      <w:r w:rsidR="00044F25">
        <w:t>.</w:t>
      </w:r>
    </w:p>
    <w:p w14:paraId="3B21C34C" w14:textId="77777777" w:rsidR="004242AB" w:rsidRDefault="004242AB" w:rsidP="00D56276">
      <w:pPr>
        <w:pStyle w:val="ListParagraph"/>
      </w:pPr>
    </w:p>
    <w:p w14:paraId="4641D5E0" w14:textId="37EE8950" w:rsidR="004242AB" w:rsidRDefault="004242AB" w:rsidP="00D56276">
      <w:pPr>
        <w:pStyle w:val="ListParagraph"/>
      </w:pPr>
      <w:r>
        <w:t>It should be noted that at this stage the DSB does not believe it is in a position to operate a separate standalone fee model for such a service, given that the costs provided below assume a high level of integration with the existing ISIN / CFI service. This in turn means that allocation of costs would become problematic and likely costly to administer and audit, should the new service be treated as standalone. Additionally, the DSB anticipates that any such new model would need to undergo its own fee model consultation which entails</w:t>
      </w:r>
      <w:r w:rsidR="0039179D">
        <w:t xml:space="preserve"> </w:t>
      </w:r>
      <w:r>
        <w:t>its own overheads and timelines</w:t>
      </w:r>
      <w:r w:rsidR="00F301A7">
        <w:t>, as well as addressing complications such as how to allocate costs fairly on the initial user base during service ramp-up</w:t>
      </w:r>
      <w:r>
        <w:t>.</w:t>
      </w:r>
    </w:p>
    <w:p w14:paraId="6C64B853" w14:textId="77777777" w:rsidR="000E66BD" w:rsidRPr="00BB1525" w:rsidRDefault="000E66BD" w:rsidP="00BB1525">
      <w:pPr>
        <w:pStyle w:val="ListParagraph"/>
        <w:rPr>
          <w:i/>
        </w:rPr>
      </w:pPr>
    </w:p>
    <w:p w14:paraId="3516E775" w14:textId="2BAD6C18" w:rsidR="007121CF" w:rsidRDefault="000E66BD" w:rsidP="00D56276">
      <w:pPr>
        <w:pStyle w:val="ListParagraph"/>
        <w:numPr>
          <w:ilvl w:val="0"/>
          <w:numId w:val="38"/>
        </w:numPr>
        <w:rPr>
          <w:i/>
        </w:rPr>
      </w:pPr>
      <w:r w:rsidRPr="00BB1525">
        <w:rPr>
          <w:i/>
        </w:rPr>
        <w:t>Should CFI creation be linked to ISIN creation?</w:t>
      </w:r>
    </w:p>
    <w:p w14:paraId="20AD09F6" w14:textId="3718AD36" w:rsidR="00B8692E" w:rsidRDefault="000E66BD" w:rsidP="00D56276">
      <w:pPr>
        <w:pStyle w:val="ListParagraph"/>
      </w:pPr>
      <w:r>
        <w:t xml:space="preserve">The DSB acknowledges the operational benefits of the existing linkage for any </w:t>
      </w:r>
      <w:r w:rsidR="00D56276">
        <w:t xml:space="preserve">user </w:t>
      </w:r>
      <w:r>
        <w:t xml:space="preserve">wishing to search or create an ISIN. The DSB intends to preserve this linkage </w:t>
      </w:r>
      <w:r w:rsidR="00D56276">
        <w:t xml:space="preserve">even if a standalone CFI service were to be implemented, in order to </w:t>
      </w:r>
      <w:r w:rsidR="00B8692E">
        <w:t xml:space="preserve">preserve </w:t>
      </w:r>
      <w:r>
        <w:t xml:space="preserve">the operational synergies </w:t>
      </w:r>
      <w:r w:rsidR="00D56276">
        <w:t>such linkage provides</w:t>
      </w:r>
      <w:r>
        <w:t xml:space="preserve">. </w:t>
      </w:r>
    </w:p>
    <w:p w14:paraId="7A8D5D68" w14:textId="77777777" w:rsidR="00B8692E" w:rsidRDefault="00B8692E" w:rsidP="00D56276">
      <w:pPr>
        <w:pStyle w:val="ListParagraph"/>
      </w:pPr>
    </w:p>
    <w:p w14:paraId="44637B4B" w14:textId="1D84F116" w:rsidR="000E66BD" w:rsidRDefault="000E66BD" w:rsidP="00D56276">
      <w:pPr>
        <w:pStyle w:val="ListParagraph"/>
      </w:pPr>
      <w:r>
        <w:t>The question the DSB is looking to address is whether a</w:t>
      </w:r>
      <w:r w:rsidR="00D56276">
        <w:t>n additional</w:t>
      </w:r>
      <w:r>
        <w:t xml:space="preserve"> standalone service should be </w:t>
      </w:r>
      <w:r w:rsidR="00B8692E">
        <w:t xml:space="preserve">also </w:t>
      </w:r>
      <w:r w:rsidR="00006145">
        <w:t xml:space="preserve">be </w:t>
      </w:r>
      <w:r>
        <w:t xml:space="preserve">provided that allows CFI </w:t>
      </w:r>
      <w:r w:rsidR="00E06262">
        <w:t xml:space="preserve">creation and </w:t>
      </w:r>
      <w:r>
        <w:t>search</w:t>
      </w:r>
      <w:r w:rsidR="0078695F">
        <w:t xml:space="preserve"> for </w:t>
      </w:r>
      <w:r w:rsidR="00D862C8">
        <w:t>OTC p</w:t>
      </w:r>
      <w:r w:rsidR="0078695F">
        <w:t>roduct template</w:t>
      </w:r>
      <w:r w:rsidR="00745684">
        <w:t>s in scope of EMIR transaction reporting</w:t>
      </w:r>
      <w:r w:rsidR="00D862C8">
        <w:t xml:space="preserve"> i.e. beyond those serviced by the DSB’s current approach which is focused on </w:t>
      </w:r>
      <w:r w:rsidR="00745684">
        <w:t>MiFID II reference data reporting obligations</w:t>
      </w:r>
      <w:r w:rsidR="00D56276">
        <w:t xml:space="preserve">. The anticipated benefits of such a service is to </w:t>
      </w:r>
      <w:r w:rsidR="00B8692E">
        <w:t xml:space="preserve">the </w:t>
      </w:r>
      <w:r w:rsidR="00D56276">
        <w:t xml:space="preserve">more complete asset class coverage </w:t>
      </w:r>
      <w:r w:rsidR="00B8692E">
        <w:t xml:space="preserve">that such a service can provide. </w:t>
      </w:r>
    </w:p>
    <w:p w14:paraId="7367E081" w14:textId="17E5C16F" w:rsidR="00D56276" w:rsidRDefault="00D56276" w:rsidP="00D56276">
      <w:pPr>
        <w:pStyle w:val="ListParagraph"/>
      </w:pPr>
    </w:p>
    <w:p w14:paraId="4192B039" w14:textId="32080C00" w:rsidR="00B8692E" w:rsidRDefault="00B8692E" w:rsidP="00B8692E">
      <w:pPr>
        <w:pStyle w:val="ListParagraph"/>
        <w:numPr>
          <w:ilvl w:val="0"/>
          <w:numId w:val="38"/>
        </w:numPr>
      </w:pPr>
      <w:r w:rsidRPr="00BB1525">
        <w:rPr>
          <w:i/>
        </w:rPr>
        <w:t>Can current user connections to be leveraged to deliver expanded CFI coverage so that users would not need to crea</w:t>
      </w:r>
      <w:r w:rsidR="004470EB">
        <w:rPr>
          <w:i/>
        </w:rPr>
        <w:t>te</w:t>
      </w:r>
      <w:r w:rsidRPr="00BB1525">
        <w:rPr>
          <w:i/>
        </w:rPr>
        <w:t xml:space="preserve"> new API and/or GUI accounts</w:t>
      </w:r>
      <w:r>
        <w:t>?</w:t>
      </w:r>
    </w:p>
    <w:p w14:paraId="79543BB1" w14:textId="6D0A9E8D" w:rsidR="00B8692E" w:rsidRPr="00BB1525" w:rsidRDefault="003046EC" w:rsidP="00BB1525">
      <w:pPr>
        <w:pStyle w:val="ListParagraph"/>
      </w:pPr>
      <w:r>
        <w:t>T</w:t>
      </w:r>
      <w:r w:rsidR="00B8692E">
        <w:t>he DSB agrees with the suggest</w:t>
      </w:r>
      <w:r w:rsidR="00A1640A">
        <w:t>ion</w:t>
      </w:r>
      <w:r w:rsidR="00B8692E">
        <w:t xml:space="preserve"> in user responses</w:t>
      </w:r>
      <w:r w:rsidR="007D1386">
        <w:t xml:space="preserve"> </w:t>
      </w:r>
      <w:r>
        <w:t xml:space="preserve">to leverage existing connections in order </w:t>
      </w:r>
      <w:r w:rsidR="00581864">
        <w:t xml:space="preserve">to </w:t>
      </w:r>
      <w:r>
        <w:t xml:space="preserve">maximise operational efficiencies and minimise industry effort to establish connectivity.  If </w:t>
      </w:r>
      <w:r w:rsidR="007D1386">
        <w:t>the service were to proceed</w:t>
      </w:r>
      <w:r>
        <w:t>, the DSB would move forward on this basis</w:t>
      </w:r>
      <w:r w:rsidR="00B8692E">
        <w:t>.</w:t>
      </w:r>
      <w:r w:rsidR="007D1386">
        <w:t xml:space="preserve"> </w:t>
      </w:r>
      <w:r w:rsidR="007D1386">
        <w:lastRenderedPageBreak/>
        <w:t xml:space="preserve">Additionally, the </w:t>
      </w:r>
      <w:r>
        <w:t xml:space="preserve">DSB proposes the </w:t>
      </w:r>
      <w:r w:rsidR="00DA7FD4">
        <w:t xml:space="preserve">PC and the </w:t>
      </w:r>
      <w:r>
        <w:t xml:space="preserve">TAC to be involved in the review of the </w:t>
      </w:r>
      <w:r w:rsidR="007D1386">
        <w:t>design of the service to ensure an optimal approach for market participants.</w:t>
      </w:r>
    </w:p>
    <w:p w14:paraId="52BF8F69" w14:textId="7A0CDFBA" w:rsidR="00256723" w:rsidRDefault="00256723" w:rsidP="0028746F">
      <w:r>
        <w:t>Reviewing the list of concerns listed above, the DSB believes that all bar one concern can be addressed as part of the implementation of the service. The exception is the question of whether the DSB should provide this service or whether such a service is best left to commercial operators. The DSB believes this question should be addressed by industry and therefore proposes to consult on this point.</w:t>
      </w:r>
    </w:p>
    <w:p w14:paraId="6DEBA896" w14:textId="50F71DCA" w:rsidR="007121CF" w:rsidRDefault="00256723" w:rsidP="004A10FE">
      <w:pPr>
        <w:spacing w:before="240"/>
        <w:rPr>
          <w:u w:val="single"/>
        </w:rPr>
      </w:pPr>
      <w:r w:rsidRPr="00BB1525">
        <w:rPr>
          <w:u w:val="single"/>
        </w:rPr>
        <w:t>DSB Proposal for Next Steps</w:t>
      </w:r>
    </w:p>
    <w:p w14:paraId="0DC84A28" w14:textId="4B97F850" w:rsidR="00044F25" w:rsidRDefault="00044F25" w:rsidP="003046EC">
      <w:pPr>
        <w:rPr>
          <w:bCs/>
        </w:rPr>
      </w:pPr>
      <w:r w:rsidRPr="00BB1525">
        <w:t>The DS</w:t>
      </w:r>
      <w:r w:rsidRPr="00BB1525">
        <w:rPr>
          <w:bCs/>
        </w:rPr>
        <w:t xml:space="preserve">B </w:t>
      </w:r>
      <w:r>
        <w:rPr>
          <w:bCs/>
        </w:rPr>
        <w:t>has provided costings for the service in this section in order to allow industry to make an informed decision on whether the DSB should provide such a service under the ISO cost-recovery principles, or whether industry prefers to receive such a service from commercial operators.</w:t>
      </w:r>
    </w:p>
    <w:p w14:paraId="7E8DCD11" w14:textId="4B930D9B" w:rsidR="00135C49" w:rsidRDefault="00135C49" w:rsidP="00135C49">
      <w:pPr>
        <w:spacing w:after="120" w:line="276" w:lineRule="auto"/>
      </w:pPr>
      <w:r>
        <w:t>The DSB proposes two next steps, allowing users to determine whether and how to progress:</w:t>
      </w:r>
    </w:p>
    <w:p w14:paraId="2100EEFA" w14:textId="09612E30" w:rsidR="00135C49" w:rsidRDefault="00135C49" w:rsidP="00135C49">
      <w:pPr>
        <w:pStyle w:val="ListParagraph"/>
        <w:numPr>
          <w:ilvl w:val="0"/>
          <w:numId w:val="52"/>
        </w:numPr>
        <w:spacing w:after="120" w:line="276" w:lineRule="auto"/>
      </w:pPr>
      <w:r>
        <w:t>conduct analysis to document the expanded product coverage at launch, associated workflows</w:t>
      </w:r>
      <w:r w:rsidR="009B4C29">
        <w:t xml:space="preserve"> and </w:t>
      </w:r>
      <w:r>
        <w:t>technology impact – overseen by the DSB PC and TAC as relevant (details</w:t>
      </w:r>
      <w:r w:rsidR="00D46439">
        <w:t xml:space="preserve"> below</w:t>
      </w:r>
      <w:r>
        <w:t>)</w:t>
      </w:r>
    </w:p>
    <w:p w14:paraId="3BDCB294" w14:textId="79B869CA" w:rsidR="00135C49" w:rsidRDefault="0068738A" w:rsidP="00135C49">
      <w:pPr>
        <w:pStyle w:val="ListParagraph"/>
        <w:numPr>
          <w:ilvl w:val="0"/>
          <w:numId w:val="52"/>
        </w:numPr>
        <w:spacing w:after="120" w:line="276" w:lineRule="auto"/>
      </w:pPr>
      <w:r>
        <w:t>proceed with i</w:t>
      </w:r>
      <w:r w:rsidR="00EC07A6">
        <w:t>mplementation</w:t>
      </w:r>
      <w:r>
        <w:t xml:space="preserve"> unless the analysis determines that forecast costs may be exceeded </w:t>
      </w:r>
      <w:r w:rsidR="00135C49">
        <w:t xml:space="preserve"> </w:t>
      </w:r>
    </w:p>
    <w:p w14:paraId="43A6A3D0" w14:textId="023CD132" w:rsidR="00044F25" w:rsidRDefault="009D34B0" w:rsidP="003046EC">
      <w:pPr>
        <w:rPr>
          <w:bCs/>
        </w:rPr>
      </w:pPr>
      <w:r>
        <w:rPr>
          <w:bCs/>
        </w:rPr>
        <w:t>C</w:t>
      </w:r>
      <w:r w:rsidR="00044F25">
        <w:rPr>
          <w:bCs/>
        </w:rPr>
        <w:t>ost estimates</w:t>
      </w:r>
      <w:r>
        <w:rPr>
          <w:bCs/>
        </w:rPr>
        <w:t>:</w:t>
      </w:r>
    </w:p>
    <w:p w14:paraId="4FFCCD49" w14:textId="06AED830" w:rsidR="00044F25" w:rsidRDefault="00044F25" w:rsidP="00044F25">
      <w:pPr>
        <w:pStyle w:val="ListParagraph"/>
        <w:numPr>
          <w:ilvl w:val="0"/>
          <w:numId w:val="31"/>
        </w:numPr>
        <w:spacing w:after="100" w:afterAutospacing="1" w:line="276" w:lineRule="auto"/>
        <w:textAlignment w:val="baseline"/>
        <w:rPr>
          <w:rFonts w:eastAsia="Times New Roman"/>
          <w:color w:val="000000"/>
          <w:lang w:eastAsia="en-GB"/>
        </w:rPr>
      </w:pPr>
      <w:r>
        <w:rPr>
          <w:rFonts w:eastAsia="Times New Roman"/>
          <w:color w:val="000000"/>
          <w:lang w:eastAsia="en-GB"/>
        </w:rPr>
        <w:t>Capex: €</w:t>
      </w:r>
      <w:r w:rsidR="009D34B0">
        <w:rPr>
          <w:rFonts w:eastAsia="Times New Roman"/>
          <w:color w:val="000000"/>
          <w:lang w:eastAsia="en-GB"/>
        </w:rPr>
        <w:t>4</w:t>
      </w:r>
      <w:r>
        <w:rPr>
          <w:rFonts w:eastAsia="Times New Roman"/>
          <w:color w:val="000000"/>
          <w:lang w:eastAsia="en-GB"/>
        </w:rPr>
        <w:t>0k</w:t>
      </w:r>
      <w:r w:rsidR="009D34B0">
        <w:rPr>
          <w:rFonts w:eastAsia="Times New Roman"/>
          <w:color w:val="000000"/>
          <w:lang w:eastAsia="en-GB"/>
        </w:rPr>
        <w:t xml:space="preserve"> analysis</w:t>
      </w:r>
      <w:r w:rsidR="00404046">
        <w:rPr>
          <w:rFonts w:eastAsia="Times New Roman"/>
          <w:color w:val="000000"/>
          <w:lang w:eastAsia="en-GB"/>
        </w:rPr>
        <w:t xml:space="preserve"> in 2020</w:t>
      </w:r>
    </w:p>
    <w:p w14:paraId="305C36D9" w14:textId="21F69404" w:rsidR="00044F25" w:rsidRDefault="00044F25" w:rsidP="00044F25">
      <w:pPr>
        <w:pStyle w:val="ListParagraph"/>
        <w:numPr>
          <w:ilvl w:val="0"/>
          <w:numId w:val="31"/>
        </w:numPr>
        <w:spacing w:before="100" w:beforeAutospacing="1" w:after="100" w:afterAutospacing="1" w:line="276" w:lineRule="auto"/>
        <w:textAlignment w:val="baseline"/>
        <w:rPr>
          <w:rFonts w:eastAsia="Times New Roman"/>
          <w:color w:val="000000"/>
          <w:lang w:eastAsia="en-GB"/>
        </w:rPr>
      </w:pPr>
      <w:r>
        <w:rPr>
          <w:rFonts w:eastAsia="Times New Roman"/>
          <w:color w:val="000000"/>
          <w:lang w:eastAsia="en-GB"/>
        </w:rPr>
        <w:t>Capex: €</w:t>
      </w:r>
      <w:r w:rsidR="009D34B0">
        <w:rPr>
          <w:rFonts w:eastAsia="Times New Roman"/>
          <w:color w:val="000000"/>
          <w:lang w:eastAsia="en-GB"/>
        </w:rPr>
        <w:t>36</w:t>
      </w:r>
      <w:r>
        <w:rPr>
          <w:rFonts w:eastAsia="Times New Roman"/>
          <w:color w:val="000000"/>
          <w:lang w:eastAsia="en-GB"/>
        </w:rPr>
        <w:t>0k for the build cost </w:t>
      </w:r>
      <w:r w:rsidR="00404046">
        <w:rPr>
          <w:rFonts w:eastAsia="Times New Roman"/>
          <w:color w:val="000000"/>
          <w:lang w:eastAsia="en-GB"/>
        </w:rPr>
        <w:t>in 2020</w:t>
      </w:r>
    </w:p>
    <w:p w14:paraId="5CB0E7B1" w14:textId="0C395478" w:rsidR="00044F25" w:rsidRDefault="00044F25" w:rsidP="00044F25">
      <w:pPr>
        <w:pStyle w:val="ListParagraph"/>
        <w:numPr>
          <w:ilvl w:val="0"/>
          <w:numId w:val="31"/>
        </w:numPr>
        <w:spacing w:before="100" w:beforeAutospacing="1" w:after="100" w:afterAutospacing="1" w:line="276" w:lineRule="auto"/>
        <w:textAlignment w:val="baseline"/>
        <w:rPr>
          <w:rFonts w:eastAsia="Times New Roman"/>
          <w:color w:val="000000"/>
          <w:lang w:eastAsia="en-GB"/>
        </w:rPr>
      </w:pPr>
      <w:proofErr w:type="spellStart"/>
      <w:r>
        <w:rPr>
          <w:rFonts w:eastAsia="Times New Roman"/>
          <w:color w:val="000000"/>
          <w:lang w:eastAsia="en-GB"/>
        </w:rPr>
        <w:t>Opex</w:t>
      </w:r>
      <w:proofErr w:type="spellEnd"/>
      <w:r>
        <w:rPr>
          <w:rFonts w:eastAsia="Times New Roman"/>
          <w:color w:val="000000"/>
          <w:lang w:eastAsia="en-GB"/>
        </w:rPr>
        <w:t>: €</w:t>
      </w:r>
      <w:r w:rsidR="009D34B0">
        <w:rPr>
          <w:rFonts w:eastAsia="Times New Roman"/>
          <w:color w:val="000000"/>
          <w:lang w:eastAsia="en-GB"/>
        </w:rPr>
        <w:t>1</w:t>
      </w:r>
      <w:r w:rsidR="00404046">
        <w:rPr>
          <w:rFonts w:eastAsia="Times New Roman"/>
          <w:color w:val="000000"/>
          <w:lang w:eastAsia="en-GB"/>
        </w:rPr>
        <w:t>6</w:t>
      </w:r>
      <w:r>
        <w:rPr>
          <w:rFonts w:eastAsia="Times New Roman"/>
          <w:color w:val="000000"/>
          <w:lang w:eastAsia="en-GB"/>
        </w:rPr>
        <w:t>0k annual run cost from 2021</w:t>
      </w:r>
    </w:p>
    <w:p w14:paraId="09B5485F" w14:textId="6828C372" w:rsidR="00044F25" w:rsidRDefault="009D34B0" w:rsidP="00BB1525">
      <w:pPr>
        <w:spacing w:line="256" w:lineRule="auto"/>
        <w:rPr>
          <w:rFonts w:eastAsia="Times New Roman"/>
          <w:color w:val="000000"/>
          <w:lang w:eastAsia="en-GB"/>
        </w:rPr>
      </w:pPr>
      <w:r w:rsidRPr="00BB1525">
        <w:rPr>
          <w:rFonts w:eastAsia="Times New Roman"/>
          <w:color w:val="000000"/>
          <w:lang w:eastAsia="en-GB"/>
        </w:rPr>
        <w:t>I</w:t>
      </w:r>
      <w:r w:rsidR="00044F25" w:rsidRPr="00BB1525">
        <w:rPr>
          <w:rFonts w:eastAsia="Times New Roman"/>
          <w:color w:val="000000"/>
          <w:lang w:eastAsia="en-GB"/>
        </w:rPr>
        <w:t>mpact</w:t>
      </w:r>
      <w:r w:rsidRPr="00BB1525">
        <w:rPr>
          <w:rFonts w:eastAsia="Times New Roman"/>
          <w:color w:val="000000"/>
          <w:lang w:eastAsia="en-GB"/>
        </w:rPr>
        <w:t xml:space="preserve"> on DSB total costs</w:t>
      </w:r>
      <w:r w:rsidR="00044F25" w:rsidRPr="00BB1525">
        <w:rPr>
          <w:rFonts w:eastAsia="Times New Roman"/>
          <w:color w:val="000000"/>
          <w:lang w:eastAsia="en-GB"/>
        </w:rPr>
        <w:t>: None in 2020</w:t>
      </w:r>
      <w:r w:rsidR="00833A6C">
        <w:rPr>
          <w:rStyle w:val="FootnoteReference"/>
          <w:rFonts w:eastAsia="Times New Roman"/>
          <w:color w:val="000000"/>
          <w:lang w:eastAsia="en-GB"/>
        </w:rPr>
        <w:footnoteReference w:id="10"/>
      </w:r>
      <w:r w:rsidR="00044F25" w:rsidRPr="00BB1525">
        <w:rPr>
          <w:rFonts w:eastAsia="Times New Roman"/>
          <w:color w:val="000000"/>
          <w:lang w:eastAsia="en-GB"/>
        </w:rPr>
        <w:t>; €</w:t>
      </w:r>
      <w:r w:rsidRPr="00BB1525">
        <w:rPr>
          <w:rFonts w:eastAsia="Times New Roman"/>
          <w:color w:val="000000"/>
          <w:lang w:eastAsia="en-GB"/>
        </w:rPr>
        <w:t>2</w:t>
      </w:r>
      <w:r w:rsidR="00404046" w:rsidRPr="00BB1525">
        <w:rPr>
          <w:rFonts w:eastAsia="Times New Roman"/>
          <w:color w:val="000000"/>
          <w:lang w:eastAsia="en-GB"/>
        </w:rPr>
        <w:t>6</w:t>
      </w:r>
      <w:r w:rsidRPr="00BB1525">
        <w:rPr>
          <w:rFonts w:eastAsia="Times New Roman"/>
          <w:color w:val="000000"/>
          <w:lang w:eastAsia="en-GB"/>
        </w:rPr>
        <w:t>0</w:t>
      </w:r>
      <w:r w:rsidR="00044F25" w:rsidRPr="00BB1525">
        <w:rPr>
          <w:rFonts w:eastAsia="Times New Roman"/>
          <w:color w:val="000000"/>
          <w:lang w:eastAsia="en-GB"/>
        </w:rPr>
        <w:t>K in 2021-24</w:t>
      </w:r>
      <w:r w:rsidR="000971C3">
        <w:rPr>
          <w:rStyle w:val="FootnoteReference"/>
          <w:rFonts w:eastAsia="Times New Roman"/>
          <w:color w:val="000000"/>
          <w:lang w:eastAsia="en-GB"/>
        </w:rPr>
        <w:footnoteReference w:id="11"/>
      </w:r>
      <w:r w:rsidR="00044F25" w:rsidRPr="00BB1525">
        <w:rPr>
          <w:rFonts w:eastAsia="Times New Roman"/>
          <w:color w:val="000000"/>
          <w:lang w:eastAsia="en-GB"/>
        </w:rPr>
        <w:t xml:space="preserve"> (</w:t>
      </w:r>
      <w:r w:rsidR="00404046" w:rsidRPr="00BB1525">
        <w:rPr>
          <w:rFonts w:eastAsia="Times New Roman"/>
          <w:color w:val="000000"/>
          <w:lang w:eastAsia="en-GB"/>
        </w:rPr>
        <w:t>&lt;3</w:t>
      </w:r>
      <w:r w:rsidRPr="00BB1525">
        <w:rPr>
          <w:rFonts w:eastAsia="Times New Roman"/>
          <w:color w:val="000000"/>
          <w:lang w:eastAsia="en-GB"/>
        </w:rPr>
        <w:t>% increase in costs</w:t>
      </w:r>
      <w:r w:rsidR="00044F25" w:rsidRPr="00BB1525">
        <w:rPr>
          <w:rFonts w:eastAsia="Times New Roman"/>
          <w:color w:val="000000"/>
          <w:lang w:eastAsia="en-GB"/>
        </w:rPr>
        <w:t>); €</w:t>
      </w:r>
      <w:r w:rsidR="00404046" w:rsidRPr="00BB1525">
        <w:rPr>
          <w:rFonts w:eastAsia="Times New Roman"/>
          <w:color w:val="000000"/>
          <w:lang w:eastAsia="en-GB"/>
        </w:rPr>
        <w:t>160</w:t>
      </w:r>
      <w:r w:rsidR="00044F25" w:rsidRPr="00BB1525">
        <w:rPr>
          <w:rFonts w:eastAsia="Times New Roman"/>
          <w:color w:val="000000"/>
          <w:lang w:eastAsia="en-GB"/>
        </w:rPr>
        <w:t>K from 2025 onwards (</w:t>
      </w:r>
      <w:r w:rsidR="00404046" w:rsidRPr="00BB1525">
        <w:rPr>
          <w:rFonts w:eastAsia="Times New Roman"/>
          <w:color w:val="000000"/>
          <w:lang w:eastAsia="en-GB"/>
        </w:rPr>
        <w:t>&lt;2% increase in costs</w:t>
      </w:r>
      <w:r w:rsidR="00044F25" w:rsidRPr="00BB1525">
        <w:rPr>
          <w:rFonts w:eastAsia="Times New Roman"/>
          <w:color w:val="000000"/>
          <w:lang w:eastAsia="en-GB"/>
        </w:rPr>
        <w:t>)</w:t>
      </w:r>
    </w:p>
    <w:p w14:paraId="7EDECF64" w14:textId="77777777" w:rsidR="00D46439" w:rsidRPr="00BB1525" w:rsidRDefault="00D46439" w:rsidP="00BB1525">
      <w:pPr>
        <w:spacing w:line="256" w:lineRule="auto"/>
        <w:rPr>
          <w:rFonts w:eastAsia="Times New Roman"/>
          <w:color w:val="000000"/>
          <w:lang w:eastAsia="en-GB"/>
        </w:rPr>
      </w:pPr>
    </w:p>
    <w:p w14:paraId="0388EB2E" w14:textId="56BAC9E4" w:rsidR="00256723" w:rsidRPr="00BB1525" w:rsidRDefault="00256723" w:rsidP="00256723">
      <w:pPr>
        <w:spacing w:after="120" w:line="276" w:lineRule="auto"/>
        <w:rPr>
          <w:u w:val="single"/>
        </w:rPr>
      </w:pPr>
      <w:r w:rsidRPr="00BB1525">
        <w:t>a) Analysis Phase</w:t>
      </w:r>
    </w:p>
    <w:p w14:paraId="08B0D5E9" w14:textId="69733A71" w:rsidR="00256723" w:rsidRDefault="00256723" w:rsidP="00256723">
      <w:pPr>
        <w:spacing w:after="120" w:line="276" w:lineRule="auto"/>
      </w:pPr>
      <w:r>
        <w:t xml:space="preserve">The analysis </w:t>
      </w:r>
      <w:r w:rsidR="00404046">
        <w:t xml:space="preserve">for the service </w:t>
      </w:r>
      <w:r>
        <w:t xml:space="preserve">would be conducted </w:t>
      </w:r>
      <w:r w:rsidR="00404046">
        <w:t xml:space="preserve">in collaboration with both </w:t>
      </w:r>
      <w:r>
        <w:t xml:space="preserve">the PC and the TAC (for product and technology aspects respectively) </w:t>
      </w:r>
      <w:r w:rsidR="00404046">
        <w:t xml:space="preserve">to ensure appropriate </w:t>
      </w:r>
      <w:r>
        <w:t>industry participat</w:t>
      </w:r>
      <w:r w:rsidR="00404046">
        <w:t>ion</w:t>
      </w:r>
      <w:r>
        <w:t xml:space="preserve"> in shaping the outcome and determin</w:t>
      </w:r>
      <w:r w:rsidR="00404046">
        <w:t>ing</w:t>
      </w:r>
      <w:r>
        <w:t xml:space="preserve"> additional </w:t>
      </w:r>
      <w:r w:rsidR="00404046">
        <w:t xml:space="preserve">EMIR </w:t>
      </w:r>
      <w:r>
        <w:t xml:space="preserve">products and workflows. </w:t>
      </w:r>
    </w:p>
    <w:p w14:paraId="418111D8" w14:textId="7EB90B44" w:rsidR="00E93CF9" w:rsidRDefault="00393F0E" w:rsidP="00256723">
      <w:pPr>
        <w:spacing w:after="120" w:line="276" w:lineRule="auto"/>
      </w:pPr>
      <w:r>
        <w:t xml:space="preserve">The output of the analysis phase would include information about the expected </w:t>
      </w:r>
      <w:r w:rsidR="003C7F45">
        <w:t xml:space="preserve">initial </w:t>
      </w:r>
      <w:r w:rsidR="007A696C">
        <w:t xml:space="preserve">product set, </w:t>
      </w:r>
      <w:r w:rsidR="00061866">
        <w:t xml:space="preserve">required </w:t>
      </w:r>
      <w:r w:rsidR="003C7F45">
        <w:t>workflows</w:t>
      </w:r>
      <w:r w:rsidR="00061866">
        <w:t xml:space="preserve">, an overview of the </w:t>
      </w:r>
      <w:r>
        <w:t xml:space="preserve">implementation model and </w:t>
      </w:r>
      <w:r w:rsidR="00526EE8">
        <w:t>confirmation of whether the service could be delivered within the fore</w:t>
      </w:r>
      <w:r w:rsidR="00E93CF9">
        <w:t xml:space="preserve">cast </w:t>
      </w:r>
      <w:r w:rsidR="00526EE8">
        <w:t>cost</w:t>
      </w:r>
      <w:r w:rsidR="00E93CF9">
        <w:t xml:space="preserve">s set out above. </w:t>
      </w:r>
    </w:p>
    <w:p w14:paraId="55F4DE70" w14:textId="0495EF0D" w:rsidR="0041761D" w:rsidRDefault="00256723" w:rsidP="00256723">
      <w:pPr>
        <w:spacing w:after="120" w:line="276" w:lineRule="auto"/>
      </w:pPr>
      <w:r>
        <w:t xml:space="preserve">The analysis would require some level of additional DSB resources in light of the </w:t>
      </w:r>
      <w:r w:rsidR="00404046">
        <w:t xml:space="preserve">DSB’s </w:t>
      </w:r>
      <w:r>
        <w:t xml:space="preserve">significant BAU work </w:t>
      </w:r>
      <w:r w:rsidR="00404046">
        <w:t>to support the existing PC and TAC deliverables</w:t>
      </w:r>
      <w:r w:rsidR="00F72611">
        <w:t xml:space="preserve"> alongside ongoing data quality analysis </w:t>
      </w:r>
      <w:r w:rsidR="00F72611">
        <w:lastRenderedPageBreak/>
        <w:t>and review work</w:t>
      </w:r>
      <w:r w:rsidR="00404046">
        <w:t>.</w:t>
      </w:r>
      <w:r>
        <w:t xml:space="preserve"> </w:t>
      </w:r>
      <w:r w:rsidR="00404046">
        <w:t xml:space="preserve">By leveraging the existing DSB PC and TAC </w:t>
      </w:r>
      <w:r w:rsidR="00581864">
        <w:t xml:space="preserve">governance frameworks, </w:t>
      </w:r>
      <w:r w:rsidR="00404046">
        <w:t xml:space="preserve">the incremental cost to perform the detailed analysis can be kept to </w:t>
      </w:r>
      <w:r>
        <w:t>€</w:t>
      </w:r>
      <w:r w:rsidR="00404046">
        <w:t>40</w:t>
      </w:r>
      <w:r>
        <w:t>k.</w:t>
      </w:r>
    </w:p>
    <w:p w14:paraId="030AF5AF" w14:textId="71D1EB18" w:rsidR="00256723" w:rsidRDefault="0041761D" w:rsidP="00256723">
      <w:pPr>
        <w:spacing w:after="120" w:line="276" w:lineRule="auto"/>
      </w:pPr>
      <w:r>
        <w:t>This effort would</w:t>
      </w:r>
      <w:r w:rsidR="00256723">
        <w:t xml:space="preserve"> </w:t>
      </w:r>
      <w:r>
        <w:t xml:space="preserve">be treated as 2020 capital expenditure funded by the DSB’s financial sustainability margin. As per </w:t>
      </w:r>
      <w:r w:rsidR="00682C2E">
        <w:t xml:space="preserve">the </w:t>
      </w:r>
      <w:r>
        <w:t>existing DSB cost recovery fee model, this cost would be amortized over 4 years starting from 2021, after which the capital expenditure element would drop off the DSB’s cost base.</w:t>
      </w:r>
    </w:p>
    <w:p w14:paraId="249C87D0" w14:textId="5E21A01E" w:rsidR="00256723" w:rsidRDefault="00256723" w:rsidP="00256723">
      <w:pPr>
        <w:spacing w:before="100" w:beforeAutospacing="1" w:after="120" w:line="276" w:lineRule="auto"/>
        <w:textAlignment w:val="baseline"/>
        <w:rPr>
          <w:rFonts w:ascii="Calibri" w:eastAsia="Times New Roman" w:hAnsi="Calibri" w:cs="Calibri"/>
          <w:color w:val="000000"/>
          <w:u w:val="single"/>
          <w:lang w:eastAsia="en-GB"/>
        </w:rPr>
      </w:pPr>
      <w:r w:rsidRPr="00BB1525">
        <w:rPr>
          <w:rFonts w:ascii="Calibri" w:eastAsia="Times New Roman" w:hAnsi="Calibri" w:cs="Calibri"/>
          <w:color w:val="000000"/>
          <w:lang w:eastAsia="en-GB"/>
        </w:rPr>
        <w:t>b) Implementation Phase</w:t>
      </w:r>
    </w:p>
    <w:p w14:paraId="063CD5EC" w14:textId="5718FDDF" w:rsidR="00256723" w:rsidRDefault="00256723" w:rsidP="00256723">
      <w:pPr>
        <w:spacing w:after="120" w:line="276" w:lineRule="auto"/>
      </w:pPr>
      <w:r>
        <w:t>The DSB anticipates that users would be able to leverage their existing connections to create and/or search for CFI codes using the GUI</w:t>
      </w:r>
      <w:r w:rsidR="003A7A52">
        <w:t xml:space="preserve"> or FIX API or REST APIs</w:t>
      </w:r>
      <w:r>
        <w:t xml:space="preserve">. </w:t>
      </w:r>
      <w:r w:rsidR="007F0EBE">
        <w:t>It is likely that message</w:t>
      </w:r>
      <w:r w:rsidR="000D0351">
        <w:t xml:space="preserve">s </w:t>
      </w:r>
      <w:r w:rsidR="007F0EBE">
        <w:t xml:space="preserve">would be </w:t>
      </w:r>
      <w:r w:rsidR="00431826">
        <w:t xml:space="preserve">required </w:t>
      </w:r>
      <w:r w:rsidR="007F0EBE">
        <w:t xml:space="preserve">to support </w:t>
      </w:r>
      <w:r w:rsidR="008C0C7E">
        <w:t xml:space="preserve">the </w:t>
      </w:r>
      <w:r w:rsidR="007F0EBE">
        <w:t>search, creation and publication of CFI codes</w:t>
      </w:r>
      <w:r w:rsidR="007360A4">
        <w:t xml:space="preserve">, with accompanying </w:t>
      </w:r>
      <w:r w:rsidR="006804B2">
        <w:t>acceptable use c</w:t>
      </w:r>
      <w:r w:rsidR="007360A4">
        <w:t>aps.</w:t>
      </w:r>
      <w:r w:rsidR="007F0EBE">
        <w:t xml:space="preserve"> </w:t>
      </w:r>
      <w:r w:rsidR="003A7A52">
        <w:t xml:space="preserve">The detailed </w:t>
      </w:r>
      <w:r w:rsidR="0062738B">
        <w:t xml:space="preserve">technical </w:t>
      </w:r>
      <w:r w:rsidR="003A7A52">
        <w:t xml:space="preserve">design and implementation considerations would be finalised </w:t>
      </w:r>
      <w:r>
        <w:t xml:space="preserve">in agreement with the DSB TAC, </w:t>
      </w:r>
      <w:r w:rsidR="003A7A52">
        <w:t xml:space="preserve">in order to </w:t>
      </w:r>
      <w:r>
        <w:t>provid</w:t>
      </w:r>
      <w:r w:rsidR="003A7A52">
        <w:t>e</w:t>
      </w:r>
      <w:r>
        <w:t xml:space="preserve"> industry with </w:t>
      </w:r>
      <w:r w:rsidR="003A7A52">
        <w:t xml:space="preserve">appropriate </w:t>
      </w:r>
      <w:r>
        <w:t xml:space="preserve">input into </w:t>
      </w:r>
      <w:r w:rsidR="003A7A52">
        <w:t xml:space="preserve">the </w:t>
      </w:r>
      <w:r>
        <w:t xml:space="preserve">service. </w:t>
      </w:r>
    </w:p>
    <w:p w14:paraId="66E780AB" w14:textId="7E7A611D" w:rsidR="00256723" w:rsidRPr="004F739A" w:rsidRDefault="003A7A52" w:rsidP="00256723">
      <w:pPr>
        <w:spacing w:after="100" w:afterAutospacing="1" w:line="276"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 DSB anticipates the cost of </w:t>
      </w:r>
      <w:r w:rsidR="00256723">
        <w:rPr>
          <w:rFonts w:ascii="Calibri" w:eastAsia="Times New Roman" w:hAnsi="Calibri" w:cs="Calibri"/>
          <w:color w:val="000000"/>
          <w:lang w:eastAsia="en-GB"/>
        </w:rPr>
        <w:t>develop</w:t>
      </w:r>
      <w:r>
        <w:rPr>
          <w:rFonts w:ascii="Calibri" w:eastAsia="Times New Roman" w:hAnsi="Calibri" w:cs="Calibri"/>
          <w:color w:val="000000"/>
          <w:lang w:eastAsia="en-GB"/>
        </w:rPr>
        <w:t>ing</w:t>
      </w:r>
      <w:r w:rsidR="00256723">
        <w:rPr>
          <w:rFonts w:ascii="Calibri" w:eastAsia="Times New Roman" w:hAnsi="Calibri" w:cs="Calibri"/>
          <w:color w:val="000000"/>
          <w:lang w:eastAsia="en-GB"/>
        </w:rPr>
        <w:t>, test</w:t>
      </w:r>
      <w:r>
        <w:rPr>
          <w:rFonts w:ascii="Calibri" w:eastAsia="Times New Roman" w:hAnsi="Calibri" w:cs="Calibri"/>
          <w:color w:val="000000"/>
          <w:lang w:eastAsia="en-GB"/>
        </w:rPr>
        <w:t>ing</w:t>
      </w:r>
      <w:r w:rsidR="00256723">
        <w:rPr>
          <w:rFonts w:ascii="Calibri" w:eastAsia="Times New Roman" w:hAnsi="Calibri" w:cs="Calibri"/>
          <w:color w:val="000000"/>
          <w:lang w:eastAsia="en-GB"/>
        </w:rPr>
        <w:t xml:space="preserve"> and implement</w:t>
      </w:r>
      <w:r>
        <w:rPr>
          <w:rFonts w:ascii="Calibri" w:eastAsia="Times New Roman" w:hAnsi="Calibri" w:cs="Calibri"/>
          <w:color w:val="000000"/>
          <w:lang w:eastAsia="en-GB"/>
        </w:rPr>
        <w:t>ing</w:t>
      </w:r>
      <w:r w:rsidR="0025672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new </w:t>
      </w:r>
      <w:r w:rsidR="00256723">
        <w:rPr>
          <w:rFonts w:ascii="Calibri" w:eastAsia="Times New Roman" w:hAnsi="Calibri" w:cs="Calibri"/>
          <w:color w:val="000000"/>
          <w:lang w:eastAsia="en-GB"/>
        </w:rPr>
        <w:t xml:space="preserve">service </w:t>
      </w:r>
      <w:r>
        <w:rPr>
          <w:rFonts w:ascii="Calibri" w:eastAsia="Times New Roman" w:hAnsi="Calibri" w:cs="Calibri"/>
          <w:color w:val="000000"/>
          <w:lang w:eastAsia="en-GB"/>
        </w:rPr>
        <w:t xml:space="preserve">to be </w:t>
      </w:r>
      <w:r w:rsidR="00256723">
        <w:rPr>
          <w:rFonts w:ascii="Calibri" w:eastAsia="Times New Roman" w:hAnsi="Calibri" w:cs="Calibri"/>
          <w:color w:val="000000"/>
          <w:lang w:eastAsia="en-GB"/>
        </w:rPr>
        <w:t>€</w:t>
      </w:r>
      <w:r>
        <w:rPr>
          <w:rFonts w:ascii="Calibri" w:eastAsia="Times New Roman" w:hAnsi="Calibri" w:cs="Calibri"/>
          <w:color w:val="000000"/>
          <w:lang w:eastAsia="en-GB"/>
        </w:rPr>
        <w:t>360</w:t>
      </w:r>
      <w:r w:rsidR="00256723">
        <w:rPr>
          <w:rFonts w:ascii="Calibri" w:eastAsia="Times New Roman" w:hAnsi="Calibri" w:cs="Calibri"/>
          <w:color w:val="000000"/>
          <w:lang w:eastAsia="en-GB"/>
        </w:rPr>
        <w:t>k</w:t>
      </w:r>
      <w:r>
        <w:rPr>
          <w:rFonts w:ascii="Calibri" w:eastAsia="Times New Roman" w:hAnsi="Calibri" w:cs="Calibri"/>
          <w:color w:val="000000"/>
          <w:lang w:eastAsia="en-GB"/>
        </w:rPr>
        <w:t>, after which the service would move into business-as-usual operational mode</w:t>
      </w:r>
      <w:r w:rsidR="00256723">
        <w:rPr>
          <w:rFonts w:ascii="Calibri" w:eastAsia="Times New Roman" w:hAnsi="Calibri" w:cs="Calibri"/>
          <w:color w:val="000000"/>
          <w:lang w:eastAsia="en-GB"/>
        </w:rPr>
        <w:t xml:space="preserve">. </w:t>
      </w:r>
    </w:p>
    <w:p w14:paraId="11B1AB69" w14:textId="77777777" w:rsidR="00833A6C" w:rsidRDefault="00833A6C" w:rsidP="00256723">
      <w:pPr>
        <w:spacing w:before="100" w:beforeAutospacing="1" w:after="100" w:afterAutospacing="1" w:line="276" w:lineRule="auto"/>
        <w:textAlignment w:val="baseline"/>
      </w:pPr>
      <w:r>
        <w:t>This effort would be treated as 2020 capital expenditure funded by the DSB’s financial sustainability margin. As per the existing DSB cost recovery fee model, this cost would be amortized over 4 years starting from 2021, after which the capital expenditure element would drop off the DSB’s cost base.</w:t>
      </w:r>
    </w:p>
    <w:p w14:paraId="5A401A54" w14:textId="34CCA308" w:rsidR="00256723" w:rsidRDefault="003A7A52" w:rsidP="00256723">
      <w:pPr>
        <w:spacing w:before="100" w:beforeAutospacing="1" w:after="100" w:afterAutospacing="1" w:line="276" w:lineRule="auto"/>
        <w:textAlignment w:val="baseline"/>
        <w:rPr>
          <w:rFonts w:eastAsia="Times New Roman"/>
          <w:color w:val="000000"/>
          <w:lang w:eastAsia="en-GB"/>
        </w:rPr>
      </w:pPr>
      <w:r>
        <w:rPr>
          <w:rFonts w:eastAsia="Times New Roman"/>
          <w:color w:val="000000"/>
          <w:lang w:eastAsia="en-GB"/>
        </w:rPr>
        <w:t>I</w:t>
      </w:r>
      <w:r w:rsidR="00256723">
        <w:rPr>
          <w:rFonts w:eastAsia="Times New Roman"/>
          <w:color w:val="000000"/>
          <w:lang w:eastAsia="en-GB"/>
        </w:rPr>
        <w:t xml:space="preserve">n the event </w:t>
      </w:r>
      <w:r>
        <w:rPr>
          <w:rFonts w:eastAsia="Times New Roman"/>
          <w:color w:val="000000"/>
          <w:lang w:eastAsia="en-GB"/>
        </w:rPr>
        <w:t xml:space="preserve">that </w:t>
      </w:r>
      <w:r w:rsidR="00256723">
        <w:rPr>
          <w:rFonts w:eastAsia="Times New Roman"/>
          <w:color w:val="000000"/>
          <w:lang w:eastAsia="en-GB"/>
        </w:rPr>
        <w:t xml:space="preserve">the analysis </w:t>
      </w:r>
      <w:r>
        <w:rPr>
          <w:rFonts w:eastAsia="Times New Roman"/>
          <w:color w:val="000000"/>
          <w:lang w:eastAsia="en-GB"/>
        </w:rPr>
        <w:t xml:space="preserve">phase </w:t>
      </w:r>
      <w:r w:rsidR="00256723">
        <w:rPr>
          <w:rFonts w:eastAsia="Times New Roman"/>
          <w:color w:val="000000"/>
          <w:lang w:eastAsia="en-GB"/>
        </w:rPr>
        <w:t xml:space="preserve">determines that </w:t>
      </w:r>
      <w:r w:rsidR="00256723" w:rsidRPr="00BB7F10">
        <w:rPr>
          <w:rFonts w:eastAsia="Times New Roman"/>
          <w:color w:val="000000"/>
          <w:lang w:eastAsia="en-GB"/>
        </w:rPr>
        <w:t>build cos</w:t>
      </w:r>
      <w:r w:rsidR="00256723">
        <w:rPr>
          <w:rFonts w:eastAsia="Times New Roman"/>
          <w:color w:val="000000"/>
          <w:lang w:eastAsia="en-GB"/>
        </w:rPr>
        <w:t xml:space="preserve">t or run cost is expected to </w:t>
      </w:r>
      <w:r w:rsidR="00256723" w:rsidRPr="00BB7F10">
        <w:rPr>
          <w:rFonts w:eastAsia="Times New Roman"/>
          <w:color w:val="000000"/>
          <w:lang w:eastAsia="en-GB"/>
        </w:rPr>
        <w:t>exceed the amounts set out in this document</w:t>
      </w:r>
      <w:r>
        <w:rPr>
          <w:rFonts w:eastAsia="Times New Roman"/>
          <w:color w:val="000000"/>
          <w:lang w:eastAsia="en-GB"/>
        </w:rPr>
        <w:t xml:space="preserve">, the </w:t>
      </w:r>
      <w:r w:rsidRPr="00BB7F10">
        <w:rPr>
          <w:rFonts w:eastAsia="Times New Roman"/>
          <w:color w:val="000000"/>
          <w:lang w:eastAsia="en-GB"/>
        </w:rPr>
        <w:t xml:space="preserve">DSB </w:t>
      </w:r>
      <w:r>
        <w:rPr>
          <w:rFonts w:eastAsia="Times New Roman"/>
          <w:color w:val="000000"/>
          <w:lang w:eastAsia="en-GB"/>
        </w:rPr>
        <w:t xml:space="preserve">commits that it </w:t>
      </w:r>
      <w:r w:rsidRPr="00BB7F10">
        <w:rPr>
          <w:rFonts w:eastAsia="Times New Roman"/>
          <w:color w:val="000000"/>
          <w:lang w:eastAsia="en-GB"/>
        </w:rPr>
        <w:t xml:space="preserve">will </w:t>
      </w:r>
      <w:r>
        <w:rPr>
          <w:rFonts w:eastAsia="Times New Roman"/>
          <w:color w:val="000000"/>
          <w:lang w:eastAsia="en-GB"/>
        </w:rPr>
        <w:t xml:space="preserve">seek further industry input </w:t>
      </w:r>
      <w:r w:rsidR="003916D8">
        <w:rPr>
          <w:rFonts w:eastAsia="Times New Roman"/>
          <w:color w:val="000000"/>
          <w:lang w:eastAsia="en-GB"/>
        </w:rPr>
        <w:t>before progressing with implementation.</w:t>
      </w:r>
      <w:r w:rsidR="00256723" w:rsidRPr="00BB7F10">
        <w:rPr>
          <w:rFonts w:eastAsia="Times New Roman"/>
          <w:color w:val="000000"/>
          <w:lang w:eastAsia="en-GB"/>
        </w:rPr>
        <w:t> </w:t>
      </w:r>
    </w:p>
    <w:p w14:paraId="6C2A2143" w14:textId="0AAD05A1" w:rsidR="00DF2B3E" w:rsidRPr="00BB1525" w:rsidRDefault="00DF2B3E" w:rsidP="00DF2B3E">
      <w:pPr>
        <w:spacing w:before="100" w:beforeAutospacing="1" w:after="120" w:line="276" w:lineRule="auto"/>
        <w:textAlignment w:val="baseline"/>
        <w:rPr>
          <w:rFonts w:ascii="Calibri" w:eastAsia="Times New Roman" w:hAnsi="Calibri" w:cs="Calibri"/>
          <w:color w:val="000000"/>
          <w:lang w:eastAsia="en-GB"/>
        </w:rPr>
      </w:pPr>
      <w:r w:rsidRPr="00BB1525">
        <w:rPr>
          <w:rFonts w:ascii="Calibri" w:eastAsia="Times New Roman" w:hAnsi="Calibri" w:cs="Calibri"/>
          <w:color w:val="000000"/>
          <w:lang w:eastAsia="en-GB"/>
        </w:rPr>
        <w:t>c) Annual Run Cost</w:t>
      </w:r>
    </w:p>
    <w:p w14:paraId="4A177419" w14:textId="5E14811A" w:rsidR="00224990" w:rsidRDefault="00DF2B3E" w:rsidP="00DF2B3E">
      <w:pPr>
        <w:spacing w:before="100" w:beforeAutospacing="1" w:after="100" w:afterAutospacing="1" w:line="276" w:lineRule="auto"/>
        <w:textAlignment w:val="baseline"/>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430912" behindDoc="0" locked="0" layoutInCell="1" allowOverlap="1" wp14:anchorId="6DC64B99" wp14:editId="04B539F7">
                <wp:simplePos x="0" y="0"/>
                <wp:positionH relativeFrom="margin">
                  <wp:posOffset>-46990</wp:posOffset>
                </wp:positionH>
                <wp:positionV relativeFrom="paragraph">
                  <wp:posOffset>843751</wp:posOffset>
                </wp:positionV>
                <wp:extent cx="5716905" cy="1404620"/>
                <wp:effectExtent l="0" t="0" r="1714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C61A641" w14:textId="2A097143" w:rsidR="00D52BA4" w:rsidRDefault="00D52BA4" w:rsidP="00224990">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w:t>
                            </w:r>
                            <w:r>
                              <w:rPr>
                                <w:rStyle w:val="eop"/>
                                <w:rFonts w:ascii="Calibri" w:eastAsiaTheme="majorEastAsia" w:hAnsi="Calibri" w:cs="Calibri"/>
                                <w:sz w:val="22"/>
                                <w:szCs w:val="22"/>
                              </w:rPr>
                              <w:t>:</w:t>
                            </w:r>
                          </w:p>
                          <w:p w14:paraId="59E4A30F" w14:textId="74D045FA" w:rsidR="00D52BA4" w:rsidRDefault="00D52BA4" w:rsidP="00BB1525">
                            <w:pPr>
                              <w:pStyle w:val="ListParagraph"/>
                              <w:numPr>
                                <w:ilvl w:val="0"/>
                                <w:numId w:val="40"/>
                              </w:numPr>
                            </w:pPr>
                            <w:r w:rsidRPr="00BB1525">
                              <w:rPr>
                                <w:rStyle w:val="normaltextrun"/>
                                <w:rFonts w:ascii="Calibri" w:hAnsi="Calibri" w:cs="Calibri"/>
                                <w:color w:val="000000"/>
                              </w:rPr>
                              <w:t xml:space="preserve">Given the </w:t>
                            </w:r>
                            <w:r>
                              <w:rPr>
                                <w:rStyle w:val="normaltextrun"/>
                                <w:rFonts w:ascii="Calibri" w:hAnsi="Calibri" w:cs="Calibri"/>
                                <w:color w:val="000000"/>
                              </w:rPr>
                              <w:t xml:space="preserve">approach and </w:t>
                            </w:r>
                            <w:r w:rsidRPr="00BB1525">
                              <w:rPr>
                                <w:rStyle w:val="normaltextrun"/>
                                <w:rFonts w:ascii="Calibri" w:hAnsi="Calibri" w:cs="Calibri"/>
                                <w:color w:val="000000"/>
                              </w:rPr>
                              <w:t>cost estimates provided by the DSB in this consul</w:t>
                            </w:r>
                            <w:r>
                              <w:rPr>
                                <w:rStyle w:val="normaltextrun"/>
                                <w:rFonts w:ascii="Calibri" w:hAnsi="Calibri" w:cs="Calibri"/>
                                <w:color w:val="000000"/>
                              </w:rPr>
                              <w:t>t</w:t>
                            </w:r>
                            <w:r w:rsidRPr="00BB1525">
                              <w:rPr>
                                <w:rStyle w:val="normaltextrun"/>
                                <w:rFonts w:ascii="Calibri" w:hAnsi="Calibri" w:cs="Calibri"/>
                                <w:color w:val="000000"/>
                              </w:rPr>
                              <w:t xml:space="preserve">ation, </w:t>
                            </w:r>
                            <w:r>
                              <w:rPr>
                                <w:rStyle w:val="normaltextrun"/>
                                <w:rFonts w:ascii="Calibri" w:hAnsi="Calibri" w:cs="Calibri"/>
                                <w:color w:val="000000"/>
                              </w:rPr>
                              <w:t xml:space="preserve">and bearing in mind that these costs </w:t>
                            </w:r>
                            <w:r w:rsidRPr="00BB1525">
                              <w:rPr>
                                <w:rStyle w:val="normaltextrun"/>
                                <w:rFonts w:ascii="Calibri" w:hAnsi="Calibri" w:cs="Calibri"/>
                                <w:color w:val="000000"/>
                              </w:rPr>
                              <w:t xml:space="preserve">would be shared across the DSB’s user base as per the DSB’s existing fee model, do you believe it is appropriate for the DSB to provide </w:t>
                            </w:r>
                            <w:r>
                              <w:rPr>
                                <w:rStyle w:val="normaltextrun"/>
                                <w:rFonts w:ascii="Calibri" w:hAnsi="Calibri" w:cs="Calibri"/>
                                <w:color w:val="000000"/>
                              </w:rPr>
                              <w:t xml:space="preserve">a CFI </w:t>
                            </w:r>
                            <w:r w:rsidRPr="00BB1525">
                              <w:rPr>
                                <w:rStyle w:val="normaltextrun"/>
                                <w:rFonts w:ascii="Calibri" w:hAnsi="Calibri" w:cs="Calibri"/>
                                <w:color w:val="000000"/>
                              </w:rPr>
                              <w:t>service</w:t>
                            </w:r>
                            <w:r>
                              <w:rPr>
                                <w:rStyle w:val="normaltextrun"/>
                                <w:rFonts w:ascii="Calibri" w:hAnsi="Calibri" w:cs="Calibri"/>
                                <w:color w:val="000000"/>
                              </w:rPr>
                              <w:t xml:space="preserve"> to act as the golden source of CFI codes for all EMIR Level III products</w:t>
                            </w:r>
                            <w:r w:rsidRPr="00BB1525">
                              <w:rPr>
                                <w:rStyle w:val="normaltextrun"/>
                                <w:rFonts w:ascii="Calibri" w:hAnsi="Calibri" w:cs="Calibri"/>
                                <w:color w:val="000000"/>
                              </w:rPr>
                              <w:t>, or should such a service be left to commercial operators?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64B99" id="_x0000_s1028" type="#_x0000_t202" style="position:absolute;margin-left:-3.7pt;margin-top:66.45pt;width:450.15pt;height:110.6pt;z-index:251430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">
                <v:textbox style="mso-fit-shape-to-text:t">
                  <w:txbxContent>
                    <w:p w14:paraId="6C61A641" w14:textId="2A097143" w:rsidR="00D52BA4" w:rsidRDefault="00D52BA4" w:rsidP="00224990">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w:t>
                      </w:r>
                      <w:r>
                        <w:rPr>
                          <w:rStyle w:val="eop"/>
                          <w:rFonts w:ascii="Calibri" w:eastAsiaTheme="majorEastAsia" w:hAnsi="Calibri" w:cs="Calibri"/>
                          <w:sz w:val="22"/>
                          <w:szCs w:val="22"/>
                        </w:rPr>
                        <w:t>:</w:t>
                      </w:r>
                    </w:p>
                    <w:p w14:paraId="59E4A30F" w14:textId="74D045FA" w:rsidR="00D52BA4" w:rsidRDefault="00D52BA4" w:rsidP="00BB1525">
                      <w:pPr>
                        <w:pStyle w:val="ListParagraph"/>
                        <w:numPr>
                          <w:ilvl w:val="0"/>
                          <w:numId w:val="40"/>
                        </w:numPr>
                      </w:pPr>
                      <w:r w:rsidRPr="00BB1525">
                        <w:rPr>
                          <w:rStyle w:val="normaltextrun"/>
                          <w:rFonts w:ascii="Calibri" w:hAnsi="Calibri" w:cs="Calibri"/>
                          <w:color w:val="000000"/>
                        </w:rPr>
                        <w:t xml:space="preserve">Given the </w:t>
                      </w:r>
                      <w:r>
                        <w:rPr>
                          <w:rStyle w:val="normaltextrun"/>
                          <w:rFonts w:ascii="Calibri" w:hAnsi="Calibri" w:cs="Calibri"/>
                          <w:color w:val="000000"/>
                        </w:rPr>
                        <w:t xml:space="preserve">approach and </w:t>
                      </w:r>
                      <w:r w:rsidRPr="00BB1525">
                        <w:rPr>
                          <w:rStyle w:val="normaltextrun"/>
                          <w:rFonts w:ascii="Calibri" w:hAnsi="Calibri" w:cs="Calibri"/>
                          <w:color w:val="000000"/>
                        </w:rPr>
                        <w:t>cost estimates provided by the DSB in this consul</w:t>
                      </w:r>
                      <w:r>
                        <w:rPr>
                          <w:rStyle w:val="normaltextrun"/>
                          <w:rFonts w:ascii="Calibri" w:hAnsi="Calibri" w:cs="Calibri"/>
                          <w:color w:val="000000"/>
                        </w:rPr>
                        <w:t>t</w:t>
                      </w:r>
                      <w:r w:rsidRPr="00BB1525">
                        <w:rPr>
                          <w:rStyle w:val="normaltextrun"/>
                          <w:rFonts w:ascii="Calibri" w:hAnsi="Calibri" w:cs="Calibri"/>
                          <w:color w:val="000000"/>
                        </w:rPr>
                        <w:t xml:space="preserve">ation, </w:t>
                      </w:r>
                      <w:r>
                        <w:rPr>
                          <w:rStyle w:val="normaltextrun"/>
                          <w:rFonts w:ascii="Calibri" w:hAnsi="Calibri" w:cs="Calibri"/>
                          <w:color w:val="000000"/>
                        </w:rPr>
                        <w:t xml:space="preserve">and bearing in mind that these costs </w:t>
                      </w:r>
                      <w:r w:rsidRPr="00BB1525">
                        <w:rPr>
                          <w:rStyle w:val="normaltextrun"/>
                          <w:rFonts w:ascii="Calibri" w:hAnsi="Calibri" w:cs="Calibri"/>
                          <w:color w:val="000000"/>
                        </w:rPr>
                        <w:t xml:space="preserve">would be shared across the DSB’s user base as per the DSB’s existing fee model, do you believe it is appropriate for the DSB to provide </w:t>
                      </w:r>
                      <w:r>
                        <w:rPr>
                          <w:rStyle w:val="normaltextrun"/>
                          <w:rFonts w:ascii="Calibri" w:hAnsi="Calibri" w:cs="Calibri"/>
                          <w:color w:val="000000"/>
                        </w:rPr>
                        <w:t xml:space="preserve">a CFI </w:t>
                      </w:r>
                      <w:r w:rsidRPr="00BB1525">
                        <w:rPr>
                          <w:rStyle w:val="normaltextrun"/>
                          <w:rFonts w:ascii="Calibri" w:hAnsi="Calibri" w:cs="Calibri"/>
                          <w:color w:val="000000"/>
                        </w:rPr>
                        <w:t>service</w:t>
                      </w:r>
                      <w:r>
                        <w:rPr>
                          <w:rStyle w:val="normaltextrun"/>
                          <w:rFonts w:ascii="Calibri" w:hAnsi="Calibri" w:cs="Calibri"/>
                          <w:color w:val="000000"/>
                        </w:rPr>
                        <w:t xml:space="preserve"> to act as the golden source of CFI codes for all EMIR Level III products</w:t>
                      </w:r>
                      <w:r w:rsidRPr="00BB1525">
                        <w:rPr>
                          <w:rStyle w:val="normaltextrun"/>
                          <w:rFonts w:ascii="Calibri" w:hAnsi="Calibri" w:cs="Calibri"/>
                          <w:color w:val="000000"/>
                        </w:rPr>
                        <w:t>, or should such a service be left to commercial operators?</w:t>
                      </w:r>
                    </w:p>
                  </w:txbxContent>
                </v:textbox>
                <w10:wrap type="square" anchorx="margin"/>
              </v:shape>
            </w:pict>
          </mc:Fallback>
        </mc:AlternateContent>
      </w:r>
      <w:r>
        <w:t>The DSB anticipates annual run costs of €160k, which includes infrastructure costs and the cost of supporting the service, including all associated overheads such as financial sustainability margin.</w:t>
      </w:r>
    </w:p>
    <w:p w14:paraId="71BB458C" w14:textId="27F3D88F" w:rsidR="00224990" w:rsidRDefault="00224990" w:rsidP="00256723">
      <w:pPr>
        <w:spacing w:before="100" w:beforeAutospacing="1" w:after="100" w:afterAutospacing="1" w:line="276" w:lineRule="auto"/>
        <w:textAlignment w:val="baseline"/>
        <w:rPr>
          <w:rFonts w:ascii="Calibri" w:eastAsia="Times New Roman" w:hAnsi="Calibri" w:cs="Calibri"/>
          <w:color w:val="000000"/>
          <w:lang w:eastAsia="en-GB"/>
        </w:rPr>
      </w:pPr>
    </w:p>
    <w:bookmarkStart w:id="37" w:name="_Ref13057129"/>
    <w:bookmarkStart w:id="38" w:name="_Toc13087129"/>
    <w:bookmarkStart w:id="39" w:name="_Toc13157217"/>
    <w:p w14:paraId="043C9B4C" w14:textId="71934621" w:rsidR="00FB4C05" w:rsidRDefault="00FB4C05" w:rsidP="00FB4C05">
      <w:pPr>
        <w:pStyle w:val="Heading3"/>
      </w:pPr>
      <w:r>
        <w:rPr>
          <w:noProof/>
          <w:lang w:eastAsia="en-GB"/>
        </w:rPr>
        <w:lastRenderedPageBreak/>
        <mc:AlternateContent>
          <mc:Choice Requires="wps">
            <w:drawing>
              <wp:anchor distT="45720" distB="45720" distL="114300" distR="114300" simplePos="0" relativeHeight="251442176" behindDoc="0" locked="0" layoutInCell="1" allowOverlap="1" wp14:anchorId="241E59F3" wp14:editId="377D7546">
                <wp:simplePos x="0" y="0"/>
                <wp:positionH relativeFrom="margin">
                  <wp:align>right</wp:align>
                </wp:positionH>
                <wp:positionV relativeFrom="paragraph">
                  <wp:posOffset>299499</wp:posOffset>
                </wp:positionV>
                <wp:extent cx="5716905" cy="1404620"/>
                <wp:effectExtent l="0" t="0" r="1714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F4D4713" w14:textId="1C7F8EB6" w:rsidR="00D52BA4" w:rsidRDefault="00D52BA4" w:rsidP="00FB4C05">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Users have integrated with the DSB service at varying points in the trading lifecycle from pre-trade through to post-trade, regulatory only purposes. </w:t>
                            </w:r>
                            <w:r>
                              <w:rPr>
                                <w:rStyle w:val="eop"/>
                                <w:rFonts w:ascii="Calibri" w:eastAsiaTheme="majorEastAsia" w:hAnsi="Calibri" w:cs="Calibri"/>
                                <w:sz w:val="22"/>
                                <w:szCs w:val="22"/>
                              </w:rPr>
                              <w:t> </w:t>
                            </w:r>
                          </w:p>
                          <w:p w14:paraId="62AC9378" w14:textId="77777777" w:rsidR="00D52BA4" w:rsidRDefault="00D52BA4" w:rsidP="00FB4C05">
                            <w:pPr>
                              <w:pStyle w:val="paragraph"/>
                              <w:spacing w:line="276" w:lineRule="auto"/>
                              <w:textAlignment w:val="baseline"/>
                            </w:pPr>
                            <w:r>
                              <w:rPr>
                                <w:rStyle w:val="normaltextrun"/>
                                <w:rFonts w:ascii="Calibri" w:hAnsi="Calibri" w:cs="Calibri"/>
                                <w:color w:val="000000"/>
                                <w:sz w:val="22"/>
                                <w:szCs w:val="22"/>
                              </w:rPr>
                              <w:t>Some DSB users have requested that the DSB maintain and publish the mapping between each DSB product template and the associated sub-asset class as specified by the ESMA MiFID II taxonomy. </w:t>
                            </w:r>
                            <w:r>
                              <w:rPr>
                                <w:rStyle w:val="eop"/>
                                <w:rFonts w:ascii="Calibri" w:eastAsiaTheme="majorEastAsia" w:hAnsi="Calibri" w:cs="Calibri"/>
                                <w:sz w:val="22"/>
                                <w:szCs w:val="22"/>
                              </w:rPr>
                              <w:t> </w:t>
                            </w:r>
                          </w:p>
                          <w:p w14:paraId="11A24E32" w14:textId="77777777" w:rsidR="00D52BA4" w:rsidRDefault="00D52BA4" w:rsidP="00FB4C05">
                            <w:pPr>
                              <w:pStyle w:val="paragraph"/>
                              <w:spacing w:line="276" w:lineRule="auto"/>
                              <w:textAlignment w:val="baseline"/>
                            </w:pPr>
                            <w:r>
                              <w:rPr>
                                <w:rStyle w:val="normaltextrun"/>
                                <w:rFonts w:ascii="Calibri" w:hAnsi="Calibri" w:cs="Calibri"/>
                                <w:color w:val="000000"/>
                                <w:sz w:val="22"/>
                                <w:szCs w:val="22"/>
                              </w:rPr>
                              <w:t>Such a service would provide a central data source for OTC derivatives users and could be maintained on an ongoing basis as new OTC derivative templates were added to the DSB (for ISIN or CFI purposes) – for use in either machine readable and/or human readable contexts. </w:t>
                            </w:r>
                            <w:r>
                              <w:rPr>
                                <w:rStyle w:val="eop"/>
                                <w:rFonts w:ascii="Calibri" w:eastAsiaTheme="majorEastAsia" w:hAnsi="Calibri" w:cs="Calibri"/>
                                <w:sz w:val="22"/>
                                <w:szCs w:val="22"/>
                              </w:rPr>
                              <w:t> </w:t>
                            </w:r>
                          </w:p>
                          <w:p w14:paraId="59B37BBB" w14:textId="703BBB31" w:rsidR="00D52BA4" w:rsidRDefault="00D52BA4" w:rsidP="00FB4C05">
                            <w:r>
                              <w:rPr>
                                <w:rStyle w:val="normaltextrun"/>
                                <w:rFonts w:ascii="Calibri" w:hAnsi="Calibri" w:cs="Calibri"/>
                                <w:b/>
                                <w:bCs/>
                                <w:color w:val="000000"/>
                              </w:rPr>
                              <w:t xml:space="preserve">CP1 Question: </w:t>
                            </w:r>
                            <w:r>
                              <w:rPr>
                                <w:rStyle w:val="normaltextrun"/>
                                <w:rFonts w:ascii="Calibri" w:hAnsi="Calibri" w:cs="Calibri"/>
                                <w:color w:val="000000"/>
                              </w:rPr>
                              <w:t>Where users are programmatically integrated into the DSB and seek to map data across a variety of regulatory reporting related needs, should the DSB investigate provision of (machine and human) readable mapping between DSB product definition templates and the ESMA MIFID II taxonomy’s sub-asset classes?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1E59F3" id="_x0000_s1029" type="#_x0000_t202" style="position:absolute;left:0;text-align:left;margin-left:398.95pt;margin-top:23.6pt;width:450.15pt;height:110.6pt;z-index:251442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">
                <v:textbox style="mso-fit-shape-to-text:t">
                  <w:txbxContent>
                    <w:p w14:paraId="4F4D4713" w14:textId="1C7F8EB6" w:rsidR="00D52BA4" w:rsidRDefault="00D52BA4" w:rsidP="00FB4C05">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Users have integrated with the DSB service at varying points in the trading lifecycle from pre-trade through to post-trade, regulatory only purposes. </w:t>
                      </w:r>
                      <w:r>
                        <w:rPr>
                          <w:rStyle w:val="eop"/>
                          <w:rFonts w:ascii="Calibri" w:eastAsiaTheme="majorEastAsia" w:hAnsi="Calibri" w:cs="Calibri"/>
                          <w:sz w:val="22"/>
                          <w:szCs w:val="22"/>
                        </w:rPr>
                        <w:t> </w:t>
                      </w:r>
                    </w:p>
                    <w:p w14:paraId="62AC9378" w14:textId="77777777" w:rsidR="00D52BA4" w:rsidRDefault="00D52BA4" w:rsidP="00FB4C05">
                      <w:pPr>
                        <w:pStyle w:val="paragraph"/>
                        <w:spacing w:line="276" w:lineRule="auto"/>
                        <w:textAlignment w:val="baseline"/>
                      </w:pPr>
                      <w:r>
                        <w:rPr>
                          <w:rStyle w:val="normaltextrun"/>
                          <w:rFonts w:ascii="Calibri" w:hAnsi="Calibri" w:cs="Calibri"/>
                          <w:color w:val="000000"/>
                          <w:sz w:val="22"/>
                          <w:szCs w:val="22"/>
                        </w:rPr>
                        <w:t>Some DSB users have requested that the DSB maintain and publish the mapping between each DSB product template and the associated sub-asset class as specified by the ESMA MiFID II taxonomy. </w:t>
                      </w:r>
                      <w:r>
                        <w:rPr>
                          <w:rStyle w:val="eop"/>
                          <w:rFonts w:ascii="Calibri" w:eastAsiaTheme="majorEastAsia" w:hAnsi="Calibri" w:cs="Calibri"/>
                          <w:sz w:val="22"/>
                          <w:szCs w:val="22"/>
                        </w:rPr>
                        <w:t> </w:t>
                      </w:r>
                    </w:p>
                    <w:p w14:paraId="11A24E32" w14:textId="77777777" w:rsidR="00D52BA4" w:rsidRDefault="00D52BA4" w:rsidP="00FB4C05">
                      <w:pPr>
                        <w:pStyle w:val="paragraph"/>
                        <w:spacing w:line="276" w:lineRule="auto"/>
                        <w:textAlignment w:val="baseline"/>
                      </w:pPr>
                      <w:r>
                        <w:rPr>
                          <w:rStyle w:val="normaltextrun"/>
                          <w:rFonts w:ascii="Calibri" w:hAnsi="Calibri" w:cs="Calibri"/>
                          <w:color w:val="000000"/>
                          <w:sz w:val="22"/>
                          <w:szCs w:val="22"/>
                        </w:rPr>
                        <w:t>Such a service would provide a central data source for OTC derivatives users and could be maintained on an ongoing basis as new OTC derivative templates were added to the DSB (for ISIN or CFI purposes) – for use in either machine readable and/or human readable contexts. </w:t>
                      </w:r>
                      <w:r>
                        <w:rPr>
                          <w:rStyle w:val="eop"/>
                          <w:rFonts w:ascii="Calibri" w:eastAsiaTheme="majorEastAsia" w:hAnsi="Calibri" w:cs="Calibri"/>
                          <w:sz w:val="22"/>
                          <w:szCs w:val="22"/>
                        </w:rPr>
                        <w:t> </w:t>
                      </w:r>
                    </w:p>
                    <w:p w14:paraId="59B37BBB" w14:textId="703BBB31" w:rsidR="00D52BA4" w:rsidRDefault="00D52BA4" w:rsidP="00FB4C05">
                      <w:r>
                        <w:rPr>
                          <w:rStyle w:val="normaltextrun"/>
                          <w:rFonts w:ascii="Calibri" w:hAnsi="Calibri" w:cs="Calibri"/>
                          <w:b/>
                          <w:bCs/>
                          <w:color w:val="000000"/>
                        </w:rPr>
                        <w:t xml:space="preserve">CP1 Question: </w:t>
                      </w:r>
                      <w:r>
                        <w:rPr>
                          <w:rStyle w:val="normaltextrun"/>
                          <w:rFonts w:ascii="Calibri" w:hAnsi="Calibri" w:cs="Calibri"/>
                          <w:color w:val="000000"/>
                        </w:rPr>
                        <w:t>Where users are programmatically integrated into the DSB and seek to map data across a variety of regulatory reporting related needs, should the DSB investigate provision of (machine and human) readable mapping between DSB product definition templates and the ESMA MIFID II taxonomy’s sub-asset classes?</w:t>
                      </w:r>
                    </w:p>
                  </w:txbxContent>
                </v:textbox>
                <w10:wrap type="square" anchorx="margin"/>
              </v:shape>
            </w:pict>
          </mc:Fallback>
        </mc:AlternateContent>
      </w:r>
      <w:r>
        <w:t>Q1.2 – MAPPING TO MIFID II TAXONOMY</w:t>
      </w:r>
      <w:bookmarkEnd w:id="37"/>
      <w:bookmarkEnd w:id="38"/>
      <w:bookmarkEnd w:id="39"/>
    </w:p>
    <w:p w14:paraId="206F97EA" w14:textId="5A488E72" w:rsidR="00FB4C05" w:rsidRDefault="00FB4C05" w:rsidP="00FB4C05">
      <w:pPr>
        <w:rPr>
          <w:u w:val="single"/>
        </w:rPr>
      </w:pPr>
      <w:r>
        <w:rPr>
          <w:u w:val="single"/>
        </w:rPr>
        <w:t>Industry Responses</w:t>
      </w:r>
    </w:p>
    <w:p w14:paraId="73AD6918" w14:textId="77777777" w:rsidR="00111E39" w:rsidRPr="00BB1C2A" w:rsidRDefault="00111E39" w:rsidP="00111E39">
      <w:pPr>
        <w:spacing w:after="240" w:line="276" w:lineRule="auto"/>
      </w:pPr>
      <w:r>
        <w:t>The responses received to the question posed in the first consultation are set out below</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60"/>
        <w:gridCol w:w="656"/>
        <w:gridCol w:w="656"/>
      </w:tblGrid>
      <w:tr w:rsidR="00111E39" w:rsidRPr="00153D6B" w14:paraId="6D496FCC" w14:textId="77777777" w:rsidTr="00111E39">
        <w:trPr>
          <w:trHeight w:val="288"/>
        </w:trPr>
        <w:tc>
          <w:tcPr>
            <w:tcW w:w="1760" w:type="dxa"/>
            <w:vMerge w:val="restart"/>
            <w:shd w:val="clear" w:color="auto" w:fill="auto"/>
            <w:noWrap/>
            <w:vAlign w:val="center"/>
            <w:hideMark/>
          </w:tcPr>
          <w:p w14:paraId="5EA5A92A" w14:textId="77777777" w:rsidR="00111E39" w:rsidRPr="00153D6B" w:rsidRDefault="00111E39" w:rsidP="00BE367E">
            <w:pPr>
              <w:spacing w:after="0" w:line="240"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14579C62" w14:textId="77777777" w:rsidR="00111E39" w:rsidRPr="00153D6B" w:rsidRDefault="00111E39" w:rsidP="00BE367E">
            <w:pPr>
              <w:spacing w:after="0" w:line="240" w:lineRule="auto"/>
              <w:jc w:val="center"/>
              <w:rPr>
                <w:rFonts w:ascii="Calibri" w:eastAsia="Times New Roman" w:hAnsi="Calibri" w:cs="Calibri"/>
                <w:b/>
                <w:bCs/>
                <w:color w:val="000000"/>
                <w:sz w:val="21"/>
                <w:szCs w:val="21"/>
                <w:lang w:eastAsia="en-GB"/>
              </w:rPr>
            </w:pPr>
            <w:r w:rsidRPr="00153D6B">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00171334" w14:textId="77777777" w:rsidR="00111E39" w:rsidRPr="00153D6B" w:rsidRDefault="00111E39" w:rsidP="00BE367E">
            <w:pPr>
              <w:spacing w:after="0" w:line="240" w:lineRule="auto"/>
              <w:jc w:val="center"/>
              <w:rPr>
                <w:rFonts w:ascii="Calibri" w:eastAsia="Times New Roman" w:hAnsi="Calibri" w:cs="Calibri"/>
                <w:b/>
                <w:bCs/>
                <w:color w:val="000000"/>
                <w:sz w:val="21"/>
                <w:szCs w:val="21"/>
                <w:lang w:eastAsia="en-GB"/>
              </w:rPr>
            </w:pPr>
            <w:r w:rsidRPr="00153D6B">
              <w:rPr>
                <w:rFonts w:ascii="Calibri" w:eastAsia="Times New Roman" w:hAnsi="Calibri" w:cs="Calibri"/>
                <w:b/>
                <w:bCs/>
                <w:color w:val="000000"/>
                <w:sz w:val="21"/>
                <w:szCs w:val="21"/>
                <w:lang w:eastAsia="en-GB"/>
              </w:rPr>
              <w:t>No</w:t>
            </w:r>
          </w:p>
        </w:tc>
      </w:tr>
      <w:tr w:rsidR="00111E39" w:rsidRPr="00153D6B" w14:paraId="5B797240" w14:textId="77777777" w:rsidTr="00111E39">
        <w:trPr>
          <w:trHeight w:val="288"/>
        </w:trPr>
        <w:tc>
          <w:tcPr>
            <w:tcW w:w="1760" w:type="dxa"/>
            <w:vMerge/>
            <w:vAlign w:val="center"/>
            <w:hideMark/>
          </w:tcPr>
          <w:p w14:paraId="3552CFBC" w14:textId="77777777" w:rsidR="00111E39" w:rsidRPr="00153D6B" w:rsidRDefault="00111E39" w:rsidP="00BE367E">
            <w:pPr>
              <w:spacing w:after="0" w:line="240" w:lineRule="auto"/>
              <w:rPr>
                <w:rFonts w:ascii="Times New Roman" w:eastAsia="Times New Roman" w:hAnsi="Times New Roman" w:cs="Times New Roman"/>
                <w:sz w:val="24"/>
                <w:szCs w:val="24"/>
                <w:lang w:eastAsia="en-GB"/>
              </w:rPr>
            </w:pPr>
          </w:p>
        </w:tc>
        <w:tc>
          <w:tcPr>
            <w:tcW w:w="656" w:type="dxa"/>
            <w:shd w:val="clear" w:color="000000" w:fill="63BE7B"/>
            <w:noWrap/>
            <w:vAlign w:val="center"/>
            <w:hideMark/>
          </w:tcPr>
          <w:p w14:paraId="44F8250E" w14:textId="77777777" w:rsidR="00111E39" w:rsidRPr="00153D6B" w:rsidRDefault="00111E39" w:rsidP="00BE367E">
            <w:pPr>
              <w:spacing w:after="0" w:line="240" w:lineRule="auto"/>
              <w:jc w:val="center"/>
              <w:rPr>
                <w:rFonts w:ascii="Calibri" w:eastAsia="Times New Roman" w:hAnsi="Calibri" w:cs="Calibri"/>
                <w:b/>
                <w:bCs/>
                <w:color w:val="000000"/>
                <w:sz w:val="21"/>
                <w:szCs w:val="21"/>
                <w:lang w:eastAsia="en-GB"/>
              </w:rPr>
            </w:pPr>
            <w:r w:rsidRPr="00153D6B">
              <w:rPr>
                <w:rFonts w:ascii="Calibri" w:eastAsia="Times New Roman" w:hAnsi="Calibri" w:cs="Calibri"/>
                <w:b/>
                <w:bCs/>
                <w:color w:val="000000"/>
                <w:sz w:val="21"/>
                <w:szCs w:val="21"/>
                <w:lang w:eastAsia="en-GB"/>
              </w:rPr>
              <w:t>9</w:t>
            </w:r>
          </w:p>
        </w:tc>
        <w:tc>
          <w:tcPr>
            <w:tcW w:w="656" w:type="dxa"/>
            <w:shd w:val="clear" w:color="000000" w:fill="FFEB84"/>
            <w:noWrap/>
            <w:vAlign w:val="center"/>
            <w:hideMark/>
          </w:tcPr>
          <w:p w14:paraId="7EB2680B" w14:textId="77777777" w:rsidR="00111E39" w:rsidRPr="00153D6B" w:rsidRDefault="00111E39" w:rsidP="00BE367E">
            <w:pPr>
              <w:spacing w:after="0" w:line="240" w:lineRule="auto"/>
              <w:jc w:val="center"/>
              <w:rPr>
                <w:rFonts w:ascii="Calibri" w:eastAsia="Times New Roman" w:hAnsi="Calibri" w:cs="Calibri"/>
                <w:b/>
                <w:bCs/>
                <w:color w:val="000000"/>
                <w:sz w:val="21"/>
                <w:szCs w:val="21"/>
                <w:lang w:eastAsia="en-GB"/>
              </w:rPr>
            </w:pPr>
            <w:r w:rsidRPr="00153D6B">
              <w:rPr>
                <w:rFonts w:ascii="Calibri" w:eastAsia="Times New Roman" w:hAnsi="Calibri" w:cs="Calibri"/>
                <w:b/>
                <w:bCs/>
                <w:color w:val="000000"/>
                <w:sz w:val="21"/>
                <w:szCs w:val="21"/>
                <w:lang w:eastAsia="en-GB"/>
              </w:rPr>
              <w:t>5</w:t>
            </w:r>
          </w:p>
        </w:tc>
      </w:tr>
      <w:tr w:rsidR="00111E39" w:rsidRPr="00153D6B" w14:paraId="77C57277" w14:textId="77777777" w:rsidTr="00111E39">
        <w:trPr>
          <w:trHeight w:val="300"/>
        </w:trPr>
        <w:tc>
          <w:tcPr>
            <w:tcW w:w="1760" w:type="dxa"/>
            <w:shd w:val="clear" w:color="auto" w:fill="auto"/>
            <w:noWrap/>
            <w:vAlign w:val="center"/>
            <w:hideMark/>
          </w:tcPr>
          <w:p w14:paraId="5D20ED5F" w14:textId="77777777" w:rsidR="00111E39" w:rsidRPr="00153D6B" w:rsidRDefault="00111E39" w:rsidP="00BE367E">
            <w:pPr>
              <w:spacing w:after="0" w:line="240" w:lineRule="auto"/>
              <w:jc w:val="right"/>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533F3379" w14:textId="77777777" w:rsidR="00111E39" w:rsidRPr="00153D6B" w:rsidRDefault="00111E39" w:rsidP="00BE367E">
            <w:pPr>
              <w:spacing w:after="0" w:line="240" w:lineRule="auto"/>
              <w:jc w:val="center"/>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3</w:t>
            </w:r>
          </w:p>
        </w:tc>
        <w:tc>
          <w:tcPr>
            <w:tcW w:w="656" w:type="dxa"/>
            <w:shd w:val="clear" w:color="auto" w:fill="auto"/>
            <w:noWrap/>
            <w:vAlign w:val="center"/>
            <w:hideMark/>
          </w:tcPr>
          <w:p w14:paraId="3AA67A41" w14:textId="77777777" w:rsidR="00111E39" w:rsidRPr="00153D6B" w:rsidRDefault="00111E39" w:rsidP="00BE367E">
            <w:pPr>
              <w:spacing w:after="0" w:line="240" w:lineRule="auto"/>
              <w:jc w:val="center"/>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1</w:t>
            </w:r>
          </w:p>
        </w:tc>
      </w:tr>
      <w:tr w:rsidR="00111E39" w:rsidRPr="00153D6B" w14:paraId="64E56BA9" w14:textId="77777777" w:rsidTr="00111E39">
        <w:trPr>
          <w:trHeight w:val="288"/>
        </w:trPr>
        <w:tc>
          <w:tcPr>
            <w:tcW w:w="1760" w:type="dxa"/>
            <w:shd w:val="clear" w:color="auto" w:fill="auto"/>
            <w:noWrap/>
            <w:vAlign w:val="center"/>
            <w:hideMark/>
          </w:tcPr>
          <w:p w14:paraId="6CC5432D" w14:textId="77777777" w:rsidR="00111E39" w:rsidRPr="00153D6B" w:rsidRDefault="00111E39" w:rsidP="00BE367E">
            <w:pPr>
              <w:spacing w:after="0" w:line="240" w:lineRule="auto"/>
              <w:jc w:val="right"/>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66AF109A" w14:textId="77777777" w:rsidR="00111E39" w:rsidRPr="00153D6B" w:rsidRDefault="00111E39" w:rsidP="00BE367E">
            <w:pPr>
              <w:spacing w:after="0" w:line="240" w:lineRule="auto"/>
              <w:jc w:val="center"/>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651CDC81" w14:textId="77777777" w:rsidR="00111E39" w:rsidRPr="00153D6B" w:rsidRDefault="00111E39" w:rsidP="00BE367E">
            <w:pPr>
              <w:spacing w:after="0" w:line="240" w:lineRule="auto"/>
              <w:jc w:val="center"/>
              <w:rPr>
                <w:rFonts w:ascii="Calibri" w:eastAsia="Times New Roman" w:hAnsi="Calibri" w:cs="Calibri"/>
                <w:color w:val="000000"/>
                <w:sz w:val="21"/>
                <w:szCs w:val="21"/>
                <w:lang w:eastAsia="en-GB"/>
              </w:rPr>
            </w:pPr>
            <w:r w:rsidRPr="00153D6B">
              <w:rPr>
                <w:rFonts w:ascii="Calibri" w:eastAsia="Times New Roman" w:hAnsi="Calibri" w:cs="Calibri"/>
                <w:color w:val="000000"/>
                <w:sz w:val="21"/>
                <w:szCs w:val="21"/>
                <w:lang w:eastAsia="en-GB"/>
              </w:rPr>
              <w:t>4</w:t>
            </w:r>
          </w:p>
        </w:tc>
      </w:tr>
    </w:tbl>
    <w:p w14:paraId="2C8D95F7" w14:textId="7FF27EB5" w:rsidR="00111E39" w:rsidRDefault="00111E39" w:rsidP="00FB4C05">
      <w:pPr>
        <w:rPr>
          <w:u w:val="single"/>
        </w:rPr>
      </w:pPr>
    </w:p>
    <w:p w14:paraId="5AE2A437" w14:textId="577B15C0" w:rsidR="00111E39" w:rsidRDefault="00111E39" w:rsidP="00111E39">
      <w:pPr>
        <w:spacing w:before="240" w:after="120" w:line="276" w:lineRule="auto"/>
      </w:pPr>
      <w:r w:rsidRPr="001D7F9D">
        <w:t xml:space="preserve">A majority of respondents requested that the DSB investigate provision of a mapping between DSB product templates and MiFID II taxonomy. </w:t>
      </w:r>
      <w:r>
        <w:t xml:space="preserve">Respondents who wished the DSB to investigate further, noted the following benefits to industry: </w:t>
      </w:r>
    </w:p>
    <w:p w14:paraId="43C2BE40" w14:textId="77777777" w:rsidR="00111E39" w:rsidRDefault="00111E39" w:rsidP="00111E39">
      <w:pPr>
        <w:pStyle w:val="ListParagraph"/>
        <w:numPr>
          <w:ilvl w:val="0"/>
          <w:numId w:val="27"/>
        </w:numPr>
        <w:spacing w:after="120" w:line="276" w:lineRule="auto"/>
      </w:pPr>
      <w:r w:rsidRPr="002F1C65">
        <w:t xml:space="preserve">provision of this type of mapping would </w:t>
      </w:r>
      <w:r>
        <w:t xml:space="preserve">deliver improved transparency and </w:t>
      </w:r>
      <w:r w:rsidRPr="002F1C65">
        <w:t>assist end users in choosing the appropriate DSB template for a given asset/sub-asset class as categorized in RTS-2 of MiFID II</w:t>
      </w:r>
    </w:p>
    <w:p w14:paraId="21098926" w14:textId="77777777" w:rsidR="00111E39" w:rsidRDefault="00111E39" w:rsidP="00111E39">
      <w:pPr>
        <w:pStyle w:val="ListParagraph"/>
        <w:numPr>
          <w:ilvl w:val="0"/>
          <w:numId w:val="27"/>
        </w:numPr>
        <w:spacing w:after="120" w:line="276" w:lineRule="auto"/>
      </w:pPr>
      <w:r>
        <w:t>address the c</w:t>
      </w:r>
      <w:r w:rsidRPr="005B5E4F">
        <w:t>urrent industry gap between market participants and data vendors</w:t>
      </w:r>
      <w:r>
        <w:t xml:space="preserve"> – at source i.e. at the DSB </w:t>
      </w:r>
    </w:p>
    <w:p w14:paraId="05DF3FDD" w14:textId="77777777" w:rsidR="00111E39" w:rsidRDefault="00111E39" w:rsidP="00111E39">
      <w:pPr>
        <w:pStyle w:val="ListParagraph"/>
        <w:numPr>
          <w:ilvl w:val="0"/>
          <w:numId w:val="27"/>
        </w:numPr>
        <w:spacing w:after="120" w:line="276" w:lineRule="auto"/>
      </w:pPr>
      <w:r>
        <w:t xml:space="preserve">deliver downstream benefits </w:t>
      </w:r>
      <w:r w:rsidRPr="005B5E4F">
        <w:t>in areas such as liquidity assessments, SI Calculation data and reportability decision-making processes</w:t>
      </w:r>
    </w:p>
    <w:p w14:paraId="60A1B895" w14:textId="77777777" w:rsidR="00111E39" w:rsidRDefault="00111E39" w:rsidP="00111E39">
      <w:pPr>
        <w:spacing w:after="120" w:line="276" w:lineRule="auto"/>
      </w:pPr>
      <w:r>
        <w:t xml:space="preserve">One respondent requested that the DSB investigate </w:t>
      </w:r>
      <w:r w:rsidRPr="005B5E4F">
        <w:t>the inclusion of asset and sub-asset classes details, not only in the OTC derivatives services but in all products within the scope of MiFID II</w:t>
      </w:r>
      <w:r>
        <w:t xml:space="preserve">. </w:t>
      </w:r>
    </w:p>
    <w:p w14:paraId="373307EB" w14:textId="77777777" w:rsidR="00111E39" w:rsidRDefault="00111E39" w:rsidP="00111E39">
      <w:pPr>
        <w:spacing w:after="120" w:line="276" w:lineRule="auto"/>
      </w:pPr>
      <w:r>
        <w:t xml:space="preserve">Some respondents noted benefits from such a service, with a proposal that all DSB users be charged for access to this service, rather than just the DSB’s current fee-paying users. </w:t>
      </w:r>
    </w:p>
    <w:p w14:paraId="14F3D254" w14:textId="3BC38967" w:rsidR="00111E39" w:rsidRDefault="00111E39" w:rsidP="00111E39">
      <w:pPr>
        <w:rPr>
          <w:u w:val="single"/>
        </w:rPr>
      </w:pPr>
      <w:r>
        <w:lastRenderedPageBreak/>
        <w:t xml:space="preserve">Notably, some respondents who did not wish the DSB to progress with the service suggested that although there was merit in the exercise the DSB should not progress </w:t>
      </w:r>
      <w:r w:rsidRPr="009B061A">
        <w:t>because industry use cases reach to global third country regulatory reporting requirements and are not constricted to the EU</w:t>
      </w:r>
      <w:r>
        <w:t>. This suggests an unmet industry need in the form of a mapping utility, with questions about whether and how to address any third country concerns.</w:t>
      </w:r>
    </w:p>
    <w:p w14:paraId="7423B3E6" w14:textId="749538BB" w:rsidR="00FB4C05" w:rsidRDefault="00FB4C05" w:rsidP="004A10FE">
      <w:pPr>
        <w:spacing w:before="240"/>
        <w:rPr>
          <w:u w:val="single"/>
        </w:rPr>
      </w:pPr>
      <w:r>
        <w:rPr>
          <w:u w:val="single"/>
        </w:rPr>
        <w:t>Analysis of Responses</w:t>
      </w:r>
    </w:p>
    <w:p w14:paraId="5F5D86D2" w14:textId="77777777" w:rsidR="00FF435C" w:rsidRDefault="00FF435C" w:rsidP="00FB4C05">
      <w:r w:rsidRPr="00DB0FB4">
        <w:t xml:space="preserve">The DSB </w:t>
      </w:r>
      <w:r>
        <w:t>notes the general interest in such a mapping between ISIN and MiFID II Taxonomy, but is also mindful of the negative responses, which focused on having further clarity on cost and value.</w:t>
      </w:r>
    </w:p>
    <w:p w14:paraId="2CA3BEBB" w14:textId="27255567" w:rsidR="00FB4C05" w:rsidRDefault="00FB4C05" w:rsidP="004A10FE">
      <w:pPr>
        <w:spacing w:before="240"/>
        <w:rPr>
          <w:u w:val="single"/>
        </w:rPr>
      </w:pPr>
      <w:r>
        <w:rPr>
          <w:u w:val="single"/>
        </w:rPr>
        <w:t>DSB Proposed Next Steps</w:t>
      </w:r>
    </w:p>
    <w:p w14:paraId="68DA372E" w14:textId="1138E89A" w:rsidR="00111E39" w:rsidRDefault="00111E39" w:rsidP="00111E39">
      <w:pPr>
        <w:spacing w:before="240" w:after="120" w:line="276" w:lineRule="auto"/>
      </w:pPr>
      <w:r w:rsidRPr="00FA5B2D">
        <w:t>In light of industry interest,</w:t>
      </w:r>
      <w:r>
        <w:t xml:space="preserve"> </w:t>
      </w:r>
      <w:r w:rsidRPr="00FA5B2D">
        <w:t>the</w:t>
      </w:r>
      <w:r w:rsidR="00FF435C">
        <w:rPr>
          <w:b/>
          <w:bCs/>
          <w:u w:val="single"/>
        </w:rPr>
        <w:t xml:space="preserve"> </w:t>
      </w:r>
      <w:r>
        <w:t xml:space="preserve">DSB proposes to undertake time-boxed analysis for a period of six months, with direct industry input via the DSB PC and TAC. </w:t>
      </w:r>
    </w:p>
    <w:p w14:paraId="1683C218" w14:textId="6E3C5E05" w:rsidR="00111E39" w:rsidRDefault="00111E39" w:rsidP="00111E39">
      <w:pPr>
        <w:spacing w:before="240" w:after="120" w:line="276" w:lineRule="auto"/>
      </w:pPr>
      <w:r>
        <w:t xml:space="preserve">The DSB PC sub-committee (with industry experts) will assist in determining how a mapping could be both created and maintained, </w:t>
      </w:r>
      <w:r w:rsidR="00F72611">
        <w:t xml:space="preserve">with </w:t>
      </w:r>
      <w:r>
        <w:t xml:space="preserve">the DSB TAC determining how best to facilitate distribution and publication of mapping data, alongside existing DSB MiFID II product templates. </w:t>
      </w:r>
    </w:p>
    <w:p w14:paraId="291B67FE" w14:textId="3976E5F4" w:rsidR="00A57582" w:rsidRDefault="00111E39" w:rsidP="00111E39">
      <w:pPr>
        <w:spacing w:before="240" w:after="120" w:line="276" w:lineRule="auto"/>
      </w:pPr>
      <w:r>
        <w:t xml:space="preserve">In conjunction with producing workflows and output format, the analysis will also determine </w:t>
      </w:r>
      <w:r w:rsidR="00FF435C">
        <w:t xml:space="preserve">best approach for low-cost </w:t>
      </w:r>
      <w:r>
        <w:t>implementation and maintenance</w:t>
      </w:r>
      <w:r w:rsidR="00FF435C">
        <w:t xml:space="preserve"> through the involvement of the DSB TAC</w:t>
      </w:r>
      <w:r>
        <w:t>.</w:t>
      </w:r>
      <w:r w:rsidR="00A57582">
        <w:t xml:space="preserve"> The DSB anticipates requiring dedicated resources to support the work, in view of the significant BAU work to support the existing PC and TAC deliverables alongside ongoing data quality analysis and review work. </w:t>
      </w:r>
    </w:p>
    <w:p w14:paraId="5DB4357C" w14:textId="77777777" w:rsidR="00FA6F87" w:rsidRDefault="00FA6F87" w:rsidP="00FA6F87">
      <w:pPr>
        <w:rPr>
          <w:bCs/>
        </w:rPr>
      </w:pPr>
      <w:r>
        <w:rPr>
          <w:bCs/>
        </w:rPr>
        <w:t>Cost estimates:</w:t>
      </w:r>
    </w:p>
    <w:p w14:paraId="6574C623" w14:textId="579B0090" w:rsidR="00FA6F87" w:rsidRDefault="00FA6F87" w:rsidP="00FA6F87">
      <w:pPr>
        <w:pStyle w:val="ListParagraph"/>
        <w:numPr>
          <w:ilvl w:val="0"/>
          <w:numId w:val="49"/>
        </w:numPr>
        <w:spacing w:after="100" w:afterAutospacing="1" w:line="276" w:lineRule="auto"/>
        <w:textAlignment w:val="baseline"/>
        <w:rPr>
          <w:rFonts w:eastAsia="Times New Roman"/>
          <w:color w:val="000000"/>
          <w:lang w:eastAsia="en-GB"/>
        </w:rPr>
      </w:pPr>
      <w:proofErr w:type="spellStart"/>
      <w:r>
        <w:rPr>
          <w:rFonts w:eastAsia="Times New Roman"/>
          <w:color w:val="000000"/>
          <w:lang w:eastAsia="en-GB"/>
        </w:rPr>
        <w:t>Opex</w:t>
      </w:r>
      <w:proofErr w:type="spellEnd"/>
      <w:r>
        <w:rPr>
          <w:rFonts w:eastAsia="Times New Roman"/>
          <w:color w:val="000000"/>
          <w:lang w:eastAsia="en-GB"/>
        </w:rPr>
        <w:t>: €30k in 2020</w:t>
      </w:r>
    </w:p>
    <w:p w14:paraId="6A800F41" w14:textId="50F588A2" w:rsidR="00FA6F87" w:rsidRPr="00BB1525" w:rsidRDefault="00FA6F87" w:rsidP="00FA6F87">
      <w:pPr>
        <w:spacing w:line="256" w:lineRule="auto"/>
        <w:rPr>
          <w:rFonts w:eastAsia="Times New Roman"/>
          <w:color w:val="000000"/>
          <w:lang w:eastAsia="en-GB"/>
        </w:rPr>
      </w:pPr>
      <w:r w:rsidRPr="00BB1525">
        <w:rPr>
          <w:rFonts w:eastAsia="Times New Roman"/>
          <w:color w:val="000000"/>
          <w:lang w:eastAsia="en-GB"/>
        </w:rPr>
        <w:t xml:space="preserve">Impact on DSB total costs: </w:t>
      </w:r>
      <w:r w:rsidRPr="00DB0FB4">
        <w:rPr>
          <w:rFonts w:eastAsia="Times New Roman"/>
          <w:color w:val="000000"/>
          <w:lang w:eastAsia="en-GB"/>
        </w:rPr>
        <w:t>€30</w:t>
      </w:r>
      <w:r>
        <w:rPr>
          <w:rFonts w:eastAsia="Times New Roman"/>
          <w:color w:val="000000"/>
          <w:lang w:eastAsia="en-GB"/>
        </w:rPr>
        <w:t>K</w:t>
      </w:r>
      <w:r w:rsidRPr="00BB1525">
        <w:rPr>
          <w:rFonts w:eastAsia="Times New Roman"/>
          <w:color w:val="000000"/>
          <w:lang w:eastAsia="en-GB"/>
        </w:rPr>
        <w:t xml:space="preserve"> in 2020</w:t>
      </w:r>
      <w:r>
        <w:rPr>
          <w:rFonts w:eastAsia="Times New Roman"/>
          <w:color w:val="000000"/>
          <w:lang w:eastAsia="en-GB"/>
        </w:rPr>
        <w:t xml:space="preserve"> (&lt;0.5% increase in costs)</w:t>
      </w:r>
      <w:r w:rsidRPr="00BB1525">
        <w:rPr>
          <w:rFonts w:eastAsia="Times New Roman"/>
          <w:color w:val="000000"/>
          <w:lang w:eastAsia="en-GB"/>
        </w:rPr>
        <w:t xml:space="preserve">; </w:t>
      </w:r>
      <w:r>
        <w:rPr>
          <w:rFonts w:eastAsia="Times New Roman"/>
          <w:color w:val="000000"/>
          <w:lang w:eastAsia="en-GB"/>
        </w:rPr>
        <w:t>None</w:t>
      </w:r>
      <w:r w:rsidRPr="00BB1525">
        <w:rPr>
          <w:rFonts w:eastAsia="Times New Roman"/>
          <w:color w:val="000000"/>
          <w:lang w:eastAsia="en-GB"/>
        </w:rPr>
        <w:t xml:space="preserve"> </w:t>
      </w:r>
      <w:r>
        <w:rPr>
          <w:rFonts w:eastAsia="Times New Roman"/>
          <w:color w:val="000000"/>
          <w:lang w:eastAsia="en-GB"/>
        </w:rPr>
        <w:t xml:space="preserve">from </w:t>
      </w:r>
      <w:r w:rsidRPr="00BB1525">
        <w:rPr>
          <w:rFonts w:eastAsia="Times New Roman"/>
          <w:color w:val="000000"/>
          <w:lang w:eastAsia="en-GB"/>
        </w:rPr>
        <w:t>2021</w:t>
      </w:r>
      <w:r>
        <w:rPr>
          <w:rFonts w:eastAsia="Times New Roman"/>
          <w:color w:val="000000"/>
          <w:lang w:eastAsia="en-GB"/>
        </w:rPr>
        <w:t xml:space="preserve"> </w:t>
      </w:r>
      <w:r w:rsidRPr="00BB1525">
        <w:rPr>
          <w:rFonts w:eastAsia="Times New Roman"/>
          <w:color w:val="000000"/>
          <w:lang w:eastAsia="en-GB"/>
        </w:rPr>
        <w:t>onward</w:t>
      </w:r>
      <w:r>
        <w:rPr>
          <w:rFonts w:eastAsia="Times New Roman"/>
          <w:color w:val="000000"/>
          <w:lang w:eastAsia="en-GB"/>
        </w:rPr>
        <w:t>s</w:t>
      </w:r>
    </w:p>
    <w:p w14:paraId="26AD1D44" w14:textId="5C482DDC" w:rsidR="00111E39" w:rsidRDefault="005E6273" w:rsidP="00DB0FB4">
      <w:pPr>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473920" behindDoc="1" locked="0" layoutInCell="1" allowOverlap="1" wp14:anchorId="6C817657" wp14:editId="6308CF47">
                <wp:simplePos x="0" y="0"/>
                <wp:positionH relativeFrom="margin">
                  <wp:posOffset>-2540</wp:posOffset>
                </wp:positionH>
                <wp:positionV relativeFrom="paragraph">
                  <wp:posOffset>267417</wp:posOffset>
                </wp:positionV>
                <wp:extent cx="5716905" cy="1404620"/>
                <wp:effectExtent l="0" t="0" r="17145" b="10795"/>
                <wp:wrapTight wrapText="bothSides">
                  <wp:wrapPolygon edited="0">
                    <wp:start x="0" y="0"/>
                    <wp:lineTo x="0" y="21459"/>
                    <wp:lineTo x="21593" y="21459"/>
                    <wp:lineTo x="21593"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1E18D69" w14:textId="153BD21B" w:rsidR="00D52BA4" w:rsidRPr="00F72611" w:rsidRDefault="00D52BA4" w:rsidP="00F7261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Do you concur with the DSB’s proposal to </w:t>
                            </w:r>
                            <w:r>
                              <w:rPr>
                                <w:rStyle w:val="eop"/>
                                <w:rFonts w:ascii="Calibri" w:eastAsiaTheme="majorEastAsia" w:hAnsi="Calibri" w:cs="Calibri"/>
                                <w:sz w:val="22"/>
                                <w:szCs w:val="22"/>
                              </w:rPr>
                              <w:t>perform the analysis for MiFID II Taxonomy mapping</w:t>
                            </w:r>
                            <w:r w:rsidRPr="00F72611">
                              <w:rPr>
                                <w:rStyle w:val="eop"/>
                                <w:rFonts w:ascii="Calibri" w:eastAsiaTheme="majorEastAsia" w:hAnsi="Calibri" w:cs="Calibri"/>
                                <w:sz w:val="22"/>
                                <w:szCs w:val="22"/>
                              </w:rPr>
                              <w:t xml:space="preserve">? </w:t>
                            </w:r>
                          </w:p>
                          <w:p w14:paraId="64FACC82" w14:textId="32F8223D" w:rsidR="00D52BA4" w:rsidRDefault="00D52BA4" w:rsidP="00F7261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F72611">
                              <w:rPr>
                                <w:rStyle w:val="eop"/>
                                <w:rFonts w:ascii="Calibri" w:eastAsiaTheme="majorEastAsia" w:hAnsi="Calibri" w:cs="Calibri"/>
                                <w:b/>
                                <w:sz w:val="22"/>
                                <w:szCs w:val="22"/>
                              </w:rPr>
                              <w:t xml:space="preserve">CP2 Question </w:t>
                            </w:r>
                            <w:r>
                              <w:rPr>
                                <w:rStyle w:val="eop"/>
                                <w:rFonts w:ascii="Calibri" w:eastAsiaTheme="majorEastAsia" w:hAnsi="Calibri" w:cs="Calibri"/>
                                <w:b/>
                                <w:sz w:val="22"/>
                                <w:szCs w:val="22"/>
                              </w:rPr>
                              <w:t>2</w:t>
                            </w:r>
                            <w:r w:rsidRPr="00F72611">
                              <w:rPr>
                                <w:rStyle w:val="eop"/>
                                <w:rFonts w:ascii="Calibri" w:eastAsiaTheme="majorEastAsia" w:hAnsi="Calibri" w:cs="Calibri"/>
                                <w:b/>
                                <w:sz w:val="22"/>
                                <w:szCs w:val="22"/>
                              </w:rPr>
                              <w:t>(b)</w:t>
                            </w:r>
                            <w:r w:rsidRPr="00F72611">
                              <w:rPr>
                                <w:rStyle w:val="eop"/>
                                <w:rFonts w:ascii="Calibri" w:eastAsiaTheme="majorEastAsia" w:hAnsi="Calibri" w:cs="Calibri"/>
                                <w:sz w:val="22"/>
                                <w:szCs w:val="22"/>
                              </w:rPr>
                              <w:t xml:space="preserve">: If you answered “yes” to </w:t>
                            </w:r>
                            <w:r>
                              <w:rPr>
                                <w:rStyle w:val="eop"/>
                                <w:rFonts w:ascii="Calibri" w:eastAsiaTheme="majorEastAsia" w:hAnsi="Calibri" w:cs="Calibri"/>
                                <w:sz w:val="22"/>
                                <w:szCs w:val="22"/>
                              </w:rPr>
                              <w:t xml:space="preserve">the </w:t>
                            </w:r>
                            <w:r w:rsidRPr="00F72611">
                              <w:rPr>
                                <w:rStyle w:val="eop"/>
                                <w:rFonts w:ascii="Calibri" w:eastAsiaTheme="majorEastAsia" w:hAnsi="Calibri" w:cs="Calibri"/>
                                <w:sz w:val="22"/>
                                <w:szCs w:val="22"/>
                              </w:rPr>
                              <w:t>question above, do you want the DSB analysis to address all products under MiFID II RTS-2 scope or just OTC derivatives in scope of the DSB?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17657" id="Text Box 12" o:spid="_x0000_s1030" type="#_x0000_t202" style="position:absolute;margin-left:-.2pt;margin-top:21.05pt;width:450.15pt;height:110.6pt;z-index:-251842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">
                <v:textbox style="mso-fit-shape-to-text:t">
                  <w:txbxContent>
                    <w:p w14:paraId="21E18D69" w14:textId="153BD21B" w:rsidR="00D52BA4" w:rsidRPr="00F72611" w:rsidRDefault="00D52BA4" w:rsidP="00F7261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Do you concur with the DSB’s proposal to </w:t>
                      </w:r>
                      <w:r>
                        <w:rPr>
                          <w:rStyle w:val="eop"/>
                          <w:rFonts w:ascii="Calibri" w:eastAsiaTheme="majorEastAsia" w:hAnsi="Calibri" w:cs="Calibri"/>
                          <w:sz w:val="22"/>
                          <w:szCs w:val="22"/>
                        </w:rPr>
                        <w:t>perform the analysis for MiFID II Taxonomy mapping</w:t>
                      </w:r>
                      <w:r w:rsidRPr="00F72611">
                        <w:rPr>
                          <w:rStyle w:val="eop"/>
                          <w:rFonts w:ascii="Calibri" w:eastAsiaTheme="majorEastAsia" w:hAnsi="Calibri" w:cs="Calibri"/>
                          <w:sz w:val="22"/>
                          <w:szCs w:val="22"/>
                        </w:rPr>
                        <w:t xml:space="preserve">? </w:t>
                      </w:r>
                    </w:p>
                    <w:p w14:paraId="64FACC82" w14:textId="32F8223D" w:rsidR="00D52BA4" w:rsidRDefault="00D52BA4" w:rsidP="00F7261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F72611">
                        <w:rPr>
                          <w:rStyle w:val="eop"/>
                          <w:rFonts w:ascii="Calibri" w:eastAsiaTheme="majorEastAsia" w:hAnsi="Calibri" w:cs="Calibri"/>
                          <w:b/>
                          <w:sz w:val="22"/>
                          <w:szCs w:val="22"/>
                        </w:rPr>
                        <w:t xml:space="preserve">CP2 Question </w:t>
                      </w:r>
                      <w:r>
                        <w:rPr>
                          <w:rStyle w:val="eop"/>
                          <w:rFonts w:ascii="Calibri" w:eastAsiaTheme="majorEastAsia" w:hAnsi="Calibri" w:cs="Calibri"/>
                          <w:b/>
                          <w:sz w:val="22"/>
                          <w:szCs w:val="22"/>
                        </w:rPr>
                        <w:t>2</w:t>
                      </w:r>
                      <w:r w:rsidRPr="00F72611">
                        <w:rPr>
                          <w:rStyle w:val="eop"/>
                          <w:rFonts w:ascii="Calibri" w:eastAsiaTheme="majorEastAsia" w:hAnsi="Calibri" w:cs="Calibri"/>
                          <w:b/>
                          <w:sz w:val="22"/>
                          <w:szCs w:val="22"/>
                        </w:rPr>
                        <w:t>(b)</w:t>
                      </w:r>
                      <w:r w:rsidRPr="00F72611">
                        <w:rPr>
                          <w:rStyle w:val="eop"/>
                          <w:rFonts w:ascii="Calibri" w:eastAsiaTheme="majorEastAsia" w:hAnsi="Calibri" w:cs="Calibri"/>
                          <w:sz w:val="22"/>
                          <w:szCs w:val="22"/>
                        </w:rPr>
                        <w:t xml:space="preserve">: If you answered “yes” to </w:t>
                      </w:r>
                      <w:r>
                        <w:rPr>
                          <w:rStyle w:val="eop"/>
                          <w:rFonts w:ascii="Calibri" w:eastAsiaTheme="majorEastAsia" w:hAnsi="Calibri" w:cs="Calibri"/>
                          <w:sz w:val="22"/>
                          <w:szCs w:val="22"/>
                        </w:rPr>
                        <w:t xml:space="preserve">the </w:t>
                      </w:r>
                      <w:r w:rsidRPr="00F72611">
                        <w:rPr>
                          <w:rStyle w:val="eop"/>
                          <w:rFonts w:ascii="Calibri" w:eastAsiaTheme="majorEastAsia" w:hAnsi="Calibri" w:cs="Calibri"/>
                          <w:sz w:val="22"/>
                          <w:szCs w:val="22"/>
                        </w:rPr>
                        <w:t>question above, do you want the DSB analysis to address all products under MiFID II RTS-2 scope or just OTC derivatives in scope of the DSB?</w:t>
                      </w:r>
                    </w:p>
                  </w:txbxContent>
                </v:textbox>
                <w10:wrap type="tight" anchorx="margin"/>
              </v:shape>
            </w:pict>
          </mc:Fallback>
        </mc:AlternateContent>
      </w:r>
    </w:p>
    <w:p w14:paraId="1F295D8E" w14:textId="77777777" w:rsidR="002F5D4D" w:rsidRDefault="002F5D4D">
      <w:pPr>
        <w:rPr>
          <w:rFonts w:asciiTheme="majorHAnsi" w:eastAsiaTheme="majorEastAsia" w:hAnsiTheme="majorHAnsi" w:cstheme="majorBidi"/>
          <w:color w:val="1F4D78" w:themeColor="accent1" w:themeShade="7F"/>
          <w:sz w:val="24"/>
          <w:szCs w:val="24"/>
        </w:rPr>
      </w:pPr>
      <w:r>
        <w:br w:type="page"/>
      </w:r>
    </w:p>
    <w:bookmarkStart w:id="40" w:name="_Ref13057143"/>
    <w:bookmarkStart w:id="41" w:name="_Toc13087130"/>
    <w:bookmarkStart w:id="42" w:name="_Toc13157218"/>
    <w:p w14:paraId="372F309F" w14:textId="278E74F3" w:rsidR="00111E39" w:rsidRDefault="0025036B" w:rsidP="00111E39">
      <w:pPr>
        <w:pStyle w:val="Heading3"/>
      </w:pPr>
      <w:r>
        <w:rPr>
          <w:noProof/>
          <w:lang w:eastAsia="en-GB"/>
        </w:rPr>
        <w:lastRenderedPageBreak/>
        <mc:AlternateContent>
          <mc:Choice Requires="wps">
            <w:drawing>
              <wp:anchor distT="45720" distB="45720" distL="114300" distR="114300" simplePos="0" relativeHeight="251452416" behindDoc="0" locked="0" layoutInCell="1" allowOverlap="1" wp14:anchorId="57BCF90E" wp14:editId="6404B041">
                <wp:simplePos x="0" y="0"/>
                <wp:positionH relativeFrom="margin">
                  <wp:align>right</wp:align>
                </wp:positionH>
                <wp:positionV relativeFrom="paragraph">
                  <wp:posOffset>357146</wp:posOffset>
                </wp:positionV>
                <wp:extent cx="5716905" cy="1404620"/>
                <wp:effectExtent l="0" t="0" r="1714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92FE5F1" w14:textId="265CA496" w:rsidR="00D52BA4" w:rsidRDefault="00D52BA4" w:rsidP="005707DB">
                            <w:r>
                              <w:rPr>
                                <w:rStyle w:val="normaltextrun"/>
                                <w:rFonts w:ascii="Calibri" w:hAnsi="Calibri" w:cs="Calibri"/>
                                <w:b/>
                                <w:bCs/>
                                <w:color w:val="000000"/>
                              </w:rPr>
                              <w:t xml:space="preserve">CP1 Question: </w:t>
                            </w:r>
                            <w:r w:rsidRPr="00C1184C">
                              <w:rPr>
                                <w:rStyle w:val="normaltextrun"/>
                                <w:rFonts w:ascii="Calibri" w:hAnsi="Calibri" w:cs="Calibri"/>
                                <w:bCs/>
                                <w:color w:val="000000"/>
                              </w:rPr>
                              <w:t>Do you consider that the use of default values is helpful in the creation of ISINs by the DSB?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BCF90E" id="_x0000_s1031" type="#_x0000_t202" style="position:absolute;left:0;text-align:left;margin-left:398.95pt;margin-top:28.1pt;width:450.15pt;height:110.6pt;z-index:251452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u7JwIAAEw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">
                <v:textbox style="mso-fit-shape-to-text:t">
                  <w:txbxContent>
                    <w:p w14:paraId="692FE5F1" w14:textId="265CA496" w:rsidR="00D52BA4" w:rsidRDefault="00D52BA4" w:rsidP="005707DB">
                      <w:r>
                        <w:rPr>
                          <w:rStyle w:val="normaltextrun"/>
                          <w:rFonts w:ascii="Calibri" w:hAnsi="Calibri" w:cs="Calibri"/>
                          <w:b/>
                          <w:bCs/>
                          <w:color w:val="000000"/>
                        </w:rPr>
                        <w:t xml:space="preserve">CP1 Question: </w:t>
                      </w:r>
                      <w:r w:rsidRPr="00C1184C">
                        <w:rPr>
                          <w:rStyle w:val="normaltextrun"/>
                          <w:rFonts w:ascii="Calibri" w:hAnsi="Calibri" w:cs="Calibri"/>
                          <w:bCs/>
                          <w:color w:val="000000"/>
                        </w:rPr>
                        <w:t>Do you consider that the use of default values is helpful in the creation of ISINs by the DSB?</w:t>
                      </w:r>
                    </w:p>
                  </w:txbxContent>
                </v:textbox>
                <w10:wrap type="square" anchorx="margin"/>
              </v:shape>
            </w:pict>
          </mc:Fallback>
        </mc:AlternateContent>
      </w:r>
      <w:r w:rsidR="00111E39">
        <w:t>Q1.</w:t>
      </w:r>
      <w:r w:rsidR="00C1184C">
        <w:t>3</w:t>
      </w:r>
      <w:r w:rsidR="00111E39">
        <w:t xml:space="preserve"> – </w:t>
      </w:r>
      <w:r w:rsidR="00C1184C">
        <w:t>DEFAULT VALUES IN ISIN PRODUCT TEMPLATES</w:t>
      </w:r>
      <w:bookmarkEnd w:id="40"/>
      <w:bookmarkEnd w:id="41"/>
      <w:bookmarkEnd w:id="42"/>
    </w:p>
    <w:p w14:paraId="6B0AA978" w14:textId="3281F3B1" w:rsidR="005707DB" w:rsidRDefault="005707DB" w:rsidP="00DA7FD4">
      <w:pPr>
        <w:spacing w:before="240" w:line="276" w:lineRule="auto"/>
        <w:textAlignment w:val="baseline"/>
        <w:rPr>
          <w:u w:val="single"/>
        </w:rPr>
      </w:pPr>
      <w:r>
        <w:rPr>
          <w:u w:val="single"/>
        </w:rPr>
        <w:t>Industry Responses</w:t>
      </w:r>
    </w:p>
    <w:p w14:paraId="2F8F9EA8" w14:textId="77777777" w:rsidR="00C1184C" w:rsidRDefault="00C1184C" w:rsidP="00C1184C">
      <w:pPr>
        <w:spacing w:before="120" w:line="276" w:lineRule="auto"/>
      </w:pPr>
      <w:r>
        <w:t xml:space="preserve">The responses received to the question posed in the first consultation are set out below.  </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1760"/>
        <w:gridCol w:w="656"/>
        <w:gridCol w:w="656"/>
      </w:tblGrid>
      <w:tr w:rsidR="00C1184C" w:rsidRPr="001D0DBF" w14:paraId="37D95256" w14:textId="77777777" w:rsidTr="00C1184C">
        <w:trPr>
          <w:trHeight w:val="288"/>
        </w:trPr>
        <w:tc>
          <w:tcPr>
            <w:tcW w:w="1760" w:type="dxa"/>
            <w:vMerge w:val="restart"/>
            <w:shd w:val="clear" w:color="auto" w:fill="auto"/>
            <w:noWrap/>
            <w:vAlign w:val="center"/>
            <w:hideMark/>
          </w:tcPr>
          <w:p w14:paraId="33C6635B" w14:textId="77777777" w:rsidR="00C1184C" w:rsidRPr="001D0DBF" w:rsidRDefault="00C1184C" w:rsidP="00BE367E">
            <w:pPr>
              <w:spacing w:after="0" w:line="276"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5CDE691B" w14:textId="77777777" w:rsidR="00C1184C" w:rsidRPr="001D0DBF" w:rsidRDefault="00C1184C" w:rsidP="00BE367E">
            <w:pPr>
              <w:spacing w:after="0" w:line="276" w:lineRule="auto"/>
              <w:jc w:val="center"/>
              <w:rPr>
                <w:rFonts w:ascii="Calibri" w:eastAsia="Times New Roman" w:hAnsi="Calibri" w:cs="Calibri"/>
                <w:b/>
                <w:bCs/>
                <w:color w:val="000000"/>
                <w:sz w:val="21"/>
                <w:szCs w:val="21"/>
                <w:lang w:eastAsia="en-GB"/>
              </w:rPr>
            </w:pPr>
            <w:r w:rsidRPr="001D0DBF">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5B7322D9" w14:textId="77777777" w:rsidR="00C1184C" w:rsidRPr="001D0DBF" w:rsidRDefault="00C1184C" w:rsidP="00BE367E">
            <w:pPr>
              <w:spacing w:after="0" w:line="276" w:lineRule="auto"/>
              <w:jc w:val="center"/>
              <w:rPr>
                <w:rFonts w:ascii="Calibri" w:eastAsia="Times New Roman" w:hAnsi="Calibri" w:cs="Calibri"/>
                <w:b/>
                <w:bCs/>
                <w:color w:val="000000"/>
                <w:sz w:val="21"/>
                <w:szCs w:val="21"/>
                <w:lang w:eastAsia="en-GB"/>
              </w:rPr>
            </w:pPr>
            <w:r w:rsidRPr="001D0DBF">
              <w:rPr>
                <w:rFonts w:ascii="Calibri" w:eastAsia="Times New Roman" w:hAnsi="Calibri" w:cs="Calibri"/>
                <w:b/>
                <w:bCs/>
                <w:color w:val="000000"/>
                <w:sz w:val="21"/>
                <w:szCs w:val="21"/>
                <w:lang w:eastAsia="en-GB"/>
              </w:rPr>
              <w:t>No</w:t>
            </w:r>
          </w:p>
        </w:tc>
      </w:tr>
      <w:tr w:rsidR="00C1184C" w:rsidRPr="001D0DBF" w14:paraId="49921570" w14:textId="77777777" w:rsidTr="00C1184C">
        <w:trPr>
          <w:trHeight w:val="288"/>
        </w:trPr>
        <w:tc>
          <w:tcPr>
            <w:tcW w:w="1760" w:type="dxa"/>
            <w:vMerge/>
            <w:vAlign w:val="center"/>
            <w:hideMark/>
          </w:tcPr>
          <w:p w14:paraId="27388669" w14:textId="77777777" w:rsidR="00C1184C" w:rsidRPr="001D0DBF" w:rsidRDefault="00C1184C" w:rsidP="00BE367E">
            <w:pPr>
              <w:spacing w:after="0" w:line="276" w:lineRule="auto"/>
              <w:rPr>
                <w:rFonts w:ascii="Times New Roman" w:eastAsia="Times New Roman" w:hAnsi="Times New Roman" w:cs="Times New Roman"/>
                <w:sz w:val="24"/>
                <w:szCs w:val="24"/>
                <w:lang w:eastAsia="en-GB"/>
              </w:rPr>
            </w:pPr>
          </w:p>
        </w:tc>
        <w:tc>
          <w:tcPr>
            <w:tcW w:w="656" w:type="dxa"/>
            <w:shd w:val="clear" w:color="000000" w:fill="E0E383"/>
            <w:noWrap/>
            <w:vAlign w:val="center"/>
            <w:hideMark/>
          </w:tcPr>
          <w:p w14:paraId="3E892377" w14:textId="77777777" w:rsidR="00C1184C" w:rsidRPr="001D0DBF" w:rsidRDefault="00C1184C" w:rsidP="00BE367E">
            <w:pPr>
              <w:spacing w:after="0" w:line="276" w:lineRule="auto"/>
              <w:jc w:val="center"/>
              <w:rPr>
                <w:rFonts w:ascii="Calibri" w:eastAsia="Times New Roman" w:hAnsi="Calibri" w:cs="Calibri"/>
                <w:b/>
                <w:bCs/>
                <w:color w:val="000000"/>
                <w:sz w:val="21"/>
                <w:szCs w:val="21"/>
                <w:lang w:eastAsia="en-GB"/>
              </w:rPr>
            </w:pPr>
            <w:r w:rsidRPr="001D0DBF">
              <w:rPr>
                <w:rFonts w:ascii="Calibri" w:eastAsia="Times New Roman" w:hAnsi="Calibri" w:cs="Calibri"/>
                <w:b/>
                <w:bCs/>
                <w:color w:val="000000"/>
                <w:sz w:val="21"/>
                <w:szCs w:val="21"/>
                <w:lang w:eastAsia="en-GB"/>
              </w:rPr>
              <w:t>6</w:t>
            </w:r>
          </w:p>
        </w:tc>
        <w:tc>
          <w:tcPr>
            <w:tcW w:w="656" w:type="dxa"/>
            <w:shd w:val="clear" w:color="000000" w:fill="FEDF81"/>
            <w:noWrap/>
            <w:vAlign w:val="center"/>
            <w:hideMark/>
          </w:tcPr>
          <w:p w14:paraId="2E226459" w14:textId="77777777" w:rsidR="00C1184C" w:rsidRPr="001D0DBF" w:rsidRDefault="00C1184C" w:rsidP="00BE367E">
            <w:pPr>
              <w:spacing w:after="0" w:line="276" w:lineRule="auto"/>
              <w:jc w:val="center"/>
              <w:rPr>
                <w:rFonts w:ascii="Calibri" w:eastAsia="Times New Roman" w:hAnsi="Calibri" w:cs="Calibri"/>
                <w:b/>
                <w:bCs/>
                <w:color w:val="000000"/>
                <w:sz w:val="21"/>
                <w:szCs w:val="21"/>
                <w:lang w:eastAsia="en-GB"/>
              </w:rPr>
            </w:pPr>
            <w:r w:rsidRPr="001D0DBF">
              <w:rPr>
                <w:rFonts w:ascii="Calibri" w:eastAsia="Times New Roman" w:hAnsi="Calibri" w:cs="Calibri"/>
                <w:b/>
                <w:bCs/>
                <w:color w:val="000000"/>
                <w:sz w:val="21"/>
                <w:szCs w:val="21"/>
                <w:lang w:eastAsia="en-GB"/>
              </w:rPr>
              <w:t>5</w:t>
            </w:r>
          </w:p>
        </w:tc>
      </w:tr>
      <w:tr w:rsidR="00C1184C" w:rsidRPr="001D0DBF" w14:paraId="5137DCC9" w14:textId="77777777" w:rsidTr="00C1184C">
        <w:trPr>
          <w:trHeight w:val="288"/>
        </w:trPr>
        <w:tc>
          <w:tcPr>
            <w:tcW w:w="1760" w:type="dxa"/>
            <w:shd w:val="clear" w:color="auto" w:fill="auto"/>
            <w:noWrap/>
            <w:vAlign w:val="center"/>
            <w:hideMark/>
          </w:tcPr>
          <w:p w14:paraId="044D47A7" w14:textId="77777777" w:rsidR="00C1184C" w:rsidRPr="001D0DBF" w:rsidRDefault="00C1184C" w:rsidP="00BE367E">
            <w:pPr>
              <w:spacing w:after="0" w:line="276" w:lineRule="auto"/>
              <w:jc w:val="right"/>
              <w:rPr>
                <w:rFonts w:ascii="Calibri" w:eastAsia="Times New Roman" w:hAnsi="Calibri" w:cs="Calibri"/>
                <w:color w:val="000000"/>
                <w:sz w:val="21"/>
                <w:szCs w:val="21"/>
                <w:lang w:eastAsia="en-GB"/>
              </w:rPr>
            </w:pPr>
            <w:r w:rsidRPr="001D0DBF">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23C27C9B" w14:textId="77777777" w:rsidR="00C1184C" w:rsidRPr="001D0DBF" w:rsidRDefault="00C1184C" w:rsidP="00BE367E">
            <w:pPr>
              <w:spacing w:after="0" w:line="276" w:lineRule="auto"/>
              <w:jc w:val="center"/>
              <w:rPr>
                <w:rFonts w:ascii="Calibri" w:eastAsia="Times New Roman" w:hAnsi="Calibri" w:cs="Calibri"/>
                <w:color w:val="000000"/>
                <w:sz w:val="21"/>
                <w:szCs w:val="21"/>
                <w:lang w:eastAsia="en-GB"/>
              </w:rPr>
            </w:pPr>
            <w:r w:rsidRPr="001D0DBF">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7732FCDA" w14:textId="77777777" w:rsidR="00C1184C" w:rsidRPr="001D0DBF" w:rsidRDefault="00C1184C" w:rsidP="00BE367E">
            <w:pPr>
              <w:spacing w:after="0" w:line="276" w:lineRule="auto"/>
              <w:jc w:val="center"/>
              <w:rPr>
                <w:rFonts w:ascii="Calibri" w:eastAsia="Times New Roman" w:hAnsi="Calibri" w:cs="Calibri"/>
                <w:color w:val="FFFFFF"/>
                <w:sz w:val="21"/>
                <w:szCs w:val="21"/>
                <w:lang w:eastAsia="en-GB"/>
              </w:rPr>
            </w:pPr>
            <w:r w:rsidRPr="001D0DBF">
              <w:rPr>
                <w:rFonts w:ascii="Calibri" w:eastAsia="Times New Roman" w:hAnsi="Calibri" w:cs="Calibri"/>
                <w:color w:val="FFFFFF"/>
                <w:sz w:val="21"/>
                <w:szCs w:val="21"/>
                <w:lang w:eastAsia="en-GB"/>
              </w:rPr>
              <w:t>0</w:t>
            </w:r>
          </w:p>
        </w:tc>
      </w:tr>
      <w:tr w:rsidR="00C1184C" w:rsidRPr="001D0DBF" w14:paraId="72A9C2C1" w14:textId="77777777" w:rsidTr="00C1184C">
        <w:trPr>
          <w:trHeight w:val="288"/>
        </w:trPr>
        <w:tc>
          <w:tcPr>
            <w:tcW w:w="1760" w:type="dxa"/>
            <w:shd w:val="clear" w:color="auto" w:fill="auto"/>
            <w:noWrap/>
            <w:vAlign w:val="center"/>
            <w:hideMark/>
          </w:tcPr>
          <w:p w14:paraId="671DE2B0" w14:textId="77777777" w:rsidR="00C1184C" w:rsidRPr="001D0DBF" w:rsidRDefault="00C1184C" w:rsidP="00BE367E">
            <w:pPr>
              <w:spacing w:after="0" w:line="276" w:lineRule="auto"/>
              <w:jc w:val="right"/>
              <w:rPr>
                <w:rFonts w:ascii="Calibri" w:eastAsia="Times New Roman" w:hAnsi="Calibri" w:cs="Calibri"/>
                <w:color w:val="000000"/>
                <w:sz w:val="21"/>
                <w:szCs w:val="21"/>
                <w:lang w:eastAsia="en-GB"/>
              </w:rPr>
            </w:pPr>
            <w:r w:rsidRPr="001D0DBF">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008E585A" w14:textId="77777777" w:rsidR="00C1184C" w:rsidRPr="001D0DBF" w:rsidRDefault="00C1184C" w:rsidP="00BE367E">
            <w:pPr>
              <w:spacing w:after="0" w:line="276" w:lineRule="auto"/>
              <w:jc w:val="center"/>
              <w:rPr>
                <w:rFonts w:ascii="Calibri" w:eastAsia="Times New Roman" w:hAnsi="Calibri" w:cs="Calibri"/>
                <w:color w:val="000000"/>
                <w:sz w:val="21"/>
                <w:szCs w:val="21"/>
                <w:lang w:eastAsia="en-GB"/>
              </w:rPr>
            </w:pPr>
            <w:r w:rsidRPr="001D0DBF">
              <w:rPr>
                <w:rFonts w:ascii="Calibri" w:eastAsia="Times New Roman" w:hAnsi="Calibri" w:cs="Calibri"/>
                <w:color w:val="000000"/>
                <w:sz w:val="21"/>
                <w:szCs w:val="21"/>
                <w:lang w:eastAsia="en-GB"/>
              </w:rPr>
              <w:t>5</w:t>
            </w:r>
          </w:p>
        </w:tc>
        <w:tc>
          <w:tcPr>
            <w:tcW w:w="656" w:type="dxa"/>
            <w:shd w:val="clear" w:color="auto" w:fill="auto"/>
            <w:noWrap/>
            <w:vAlign w:val="center"/>
            <w:hideMark/>
          </w:tcPr>
          <w:p w14:paraId="6FE02313" w14:textId="77777777" w:rsidR="00C1184C" w:rsidRPr="001D0DBF" w:rsidRDefault="00C1184C" w:rsidP="00BE367E">
            <w:pPr>
              <w:spacing w:after="0" w:line="276" w:lineRule="auto"/>
              <w:jc w:val="center"/>
              <w:rPr>
                <w:rFonts w:ascii="Calibri" w:eastAsia="Times New Roman" w:hAnsi="Calibri" w:cs="Calibri"/>
                <w:color w:val="000000"/>
                <w:sz w:val="21"/>
                <w:szCs w:val="21"/>
                <w:lang w:eastAsia="en-GB"/>
              </w:rPr>
            </w:pPr>
            <w:r w:rsidRPr="001D0DBF">
              <w:rPr>
                <w:rFonts w:ascii="Calibri" w:eastAsia="Times New Roman" w:hAnsi="Calibri" w:cs="Calibri"/>
                <w:color w:val="000000"/>
                <w:sz w:val="21"/>
                <w:szCs w:val="21"/>
                <w:lang w:eastAsia="en-GB"/>
              </w:rPr>
              <w:t>5</w:t>
            </w:r>
          </w:p>
        </w:tc>
      </w:tr>
    </w:tbl>
    <w:p w14:paraId="611B3B9B" w14:textId="7505CBDA" w:rsidR="00C1184C" w:rsidRDefault="00C1184C" w:rsidP="00C1184C">
      <w:pPr>
        <w:spacing w:before="260" w:after="60" w:line="276" w:lineRule="auto"/>
      </w:pPr>
      <w:r>
        <w:t xml:space="preserve">There was mixed feedback on whether default values were helpful in DSB templates, with a slight preference for the retention of default values in DSB Product Definition templates. </w:t>
      </w:r>
      <w:r w:rsidR="00943181">
        <w:t>The respondents who were interested in enhancing the current default value functionality offered a wide variety of reasons and suggestions, including:</w:t>
      </w:r>
    </w:p>
    <w:p w14:paraId="7A6A5112" w14:textId="5814266A" w:rsidR="00943181" w:rsidRDefault="00943181" w:rsidP="00943181">
      <w:pPr>
        <w:pStyle w:val="ListParagraph"/>
        <w:numPr>
          <w:ilvl w:val="0"/>
          <w:numId w:val="50"/>
        </w:numPr>
        <w:spacing w:before="260" w:after="60" w:line="276" w:lineRule="auto"/>
      </w:pPr>
      <w:r>
        <w:t>possibly use defaulted values on normal templates and only allow changing those in non-standard templates or removal of defaulted values all together</w:t>
      </w:r>
    </w:p>
    <w:p w14:paraId="00A39A07" w14:textId="18129404" w:rsidR="00943181" w:rsidRDefault="00943181" w:rsidP="00943181">
      <w:pPr>
        <w:pStyle w:val="ListParagraph"/>
        <w:numPr>
          <w:ilvl w:val="0"/>
          <w:numId w:val="50"/>
        </w:numPr>
        <w:spacing w:before="260" w:after="60" w:line="276" w:lineRule="auto"/>
      </w:pPr>
      <w:r w:rsidRPr="00943181">
        <w:t>discrepancies within the Rates space and the misuse of delivery type among market participants</w:t>
      </w:r>
    </w:p>
    <w:p w14:paraId="13AAA425" w14:textId="1BC51953" w:rsidR="00943181" w:rsidRDefault="00943181" w:rsidP="00DB0FB4">
      <w:pPr>
        <w:pStyle w:val="ListParagraph"/>
        <w:numPr>
          <w:ilvl w:val="0"/>
          <w:numId w:val="50"/>
        </w:numPr>
        <w:spacing w:before="260" w:after="60" w:line="276" w:lineRule="auto"/>
      </w:pPr>
      <w:r>
        <w:t>absence of cash v physical or multicurrency NDF settlement types and currencies may cause mi</w:t>
      </w:r>
      <w:r w:rsidR="00B6059D">
        <w:t>s</w:t>
      </w:r>
      <w:r>
        <w:t>matched ISIN selection between trading venues and market participants</w:t>
      </w:r>
    </w:p>
    <w:p w14:paraId="13144FDE" w14:textId="4C48E5D5" w:rsidR="005707DB" w:rsidRDefault="005707DB" w:rsidP="0058497E">
      <w:pPr>
        <w:spacing w:before="240"/>
        <w:rPr>
          <w:u w:val="single"/>
        </w:rPr>
      </w:pPr>
      <w:r>
        <w:rPr>
          <w:u w:val="single"/>
        </w:rPr>
        <w:t>Analysis of Responses</w:t>
      </w:r>
    </w:p>
    <w:p w14:paraId="23A5F133" w14:textId="36E51300" w:rsidR="00C77976" w:rsidRPr="00DB0FB4" w:rsidRDefault="00C77976" w:rsidP="005707DB">
      <w:r w:rsidRPr="00DB0FB4">
        <w:t xml:space="preserve">The DSB </w:t>
      </w:r>
      <w:r>
        <w:t xml:space="preserve">notes the mixed responses, containing a wide variety of rationale. This leads the DSB to conclude that whilst there is clearly some interest in enhancing the current model, there is no consensus on </w:t>
      </w:r>
      <w:r w:rsidR="00943181">
        <w:t>the main issues to be tackled. Furthermore, the views of the sizeable number of respondents who saw no need for any further action also needs to be taken into consideration.</w:t>
      </w:r>
    </w:p>
    <w:p w14:paraId="0D48A116" w14:textId="69A55A95" w:rsidR="005707DB" w:rsidRDefault="005707DB" w:rsidP="0058497E">
      <w:pPr>
        <w:spacing w:before="240"/>
        <w:rPr>
          <w:u w:val="single"/>
        </w:rPr>
      </w:pPr>
      <w:r>
        <w:rPr>
          <w:u w:val="single"/>
        </w:rPr>
        <w:t>DSB Proposed Next Steps</w:t>
      </w:r>
    </w:p>
    <w:p w14:paraId="0790F494" w14:textId="12B446C6" w:rsidR="00111E39" w:rsidRDefault="00C1184C" w:rsidP="005707DB">
      <w:r>
        <w:t xml:space="preserve">Given the disparity of views the DSB therefore proposes to work with industry participants at the PC to review on a </w:t>
      </w:r>
      <w:r w:rsidRPr="00AD1A1F">
        <w:t xml:space="preserve">case by case </w:t>
      </w:r>
      <w:r>
        <w:t xml:space="preserve">basis as part of its business as usual (subject to PC prioritization) as user requests arise via the </w:t>
      </w:r>
      <w:hyperlink r:id="rId23" w:history="1">
        <w:r w:rsidRPr="00586DDA">
          <w:rPr>
            <w:rStyle w:val="Hyperlink"/>
          </w:rPr>
          <w:t>DSB Challenge Process</w:t>
        </w:r>
      </w:hyperlink>
      <w:r>
        <w:t xml:space="preserve">. </w:t>
      </w:r>
    </w:p>
    <w:p w14:paraId="290BCDEF" w14:textId="77777777" w:rsidR="005E6273" w:rsidRDefault="005E6273" w:rsidP="005707DB"/>
    <w:p w14:paraId="23C7E529" w14:textId="33B4651B" w:rsidR="00B23943" w:rsidRPr="00B23943" w:rsidRDefault="00B23943" w:rsidP="005707DB">
      <w:r w:rsidRPr="00B23943">
        <w:rPr>
          <w:noProof/>
          <w:lang w:eastAsia="en-GB"/>
        </w:rPr>
        <w:lastRenderedPageBreak/>
        <mc:AlternateContent>
          <mc:Choice Requires="wps">
            <w:drawing>
              <wp:anchor distT="45720" distB="45720" distL="114300" distR="114300" simplePos="0" relativeHeight="251461632" behindDoc="1" locked="0" layoutInCell="1" allowOverlap="1" wp14:anchorId="717F4AA3" wp14:editId="22EAA92C">
                <wp:simplePos x="0" y="0"/>
                <wp:positionH relativeFrom="margin">
                  <wp:posOffset>-2540</wp:posOffset>
                </wp:positionH>
                <wp:positionV relativeFrom="paragraph">
                  <wp:posOffset>871302</wp:posOffset>
                </wp:positionV>
                <wp:extent cx="5716905" cy="1404620"/>
                <wp:effectExtent l="0" t="0" r="17145" b="21590"/>
                <wp:wrapTight wrapText="bothSides">
                  <wp:wrapPolygon edited="0">
                    <wp:start x="0" y="0"/>
                    <wp:lineTo x="0" y="21676"/>
                    <wp:lineTo x="21593" y="21676"/>
                    <wp:lineTo x="21593"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3A65000" w14:textId="457D79C8" w:rsidR="00D52BA4" w:rsidRDefault="00D52BA4" w:rsidP="00FF612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1184C">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the DSB Challenge Process and existing PC secretariat resourcing to manage default value population within the product templates</w:t>
                            </w:r>
                            <w:r w:rsidRPr="00C1184C">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F4AA3" id="Text Box 8" o:spid="_x0000_s1032" type="#_x0000_t202" style="position:absolute;margin-left:-.2pt;margin-top:68.6pt;width:450.15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sbJg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">
                <v:textbox style="mso-fit-shape-to-text:t">
                  <w:txbxContent>
                    <w:p w14:paraId="43A65000" w14:textId="457D79C8" w:rsidR="00D52BA4" w:rsidRDefault="00D52BA4" w:rsidP="00FF612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1184C">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the DSB Challenge Process and existing PC secretariat resourcing to manage default value population within the product templates</w:t>
                      </w:r>
                      <w:r w:rsidRPr="00C1184C">
                        <w:rPr>
                          <w:rStyle w:val="eop"/>
                          <w:rFonts w:ascii="Calibri" w:eastAsiaTheme="majorEastAsia" w:hAnsi="Calibri" w:cs="Calibri"/>
                          <w:sz w:val="22"/>
                          <w:szCs w:val="22"/>
                        </w:rPr>
                        <w:t>?</w:t>
                      </w:r>
                    </w:p>
                  </w:txbxContent>
                </v:textbox>
                <w10:wrap type="tight" anchorx="margin"/>
              </v:shape>
            </w:pict>
          </mc:Fallback>
        </mc:AlternateContent>
      </w:r>
      <w:r w:rsidRPr="00B23943">
        <w:t xml:space="preserve">As the </w:t>
      </w:r>
      <w:r>
        <w:t xml:space="preserve">process is subject to PC prioritization, the effort can be funnelled into existing business as usual resources of the PC secretariat. </w:t>
      </w:r>
      <w:r w:rsidR="002D77EC">
        <w:t>Therefore,</w:t>
      </w:r>
      <w:r>
        <w:t xml:space="preserve"> there is no resource and cost impact, noting that the work itself may not be prioritized if the PC secretariat is utilised on other PC-related activity.</w:t>
      </w:r>
    </w:p>
    <w:p w14:paraId="3692F38A" w14:textId="7F6785ED" w:rsidR="00C60BDC" w:rsidRDefault="00C60BDC">
      <w:pPr>
        <w:rPr>
          <w:rFonts w:ascii="Calibri" w:eastAsia="Times New Roman" w:hAnsi="Calibri" w:cs="Calibri"/>
          <w:color w:val="000000"/>
          <w:sz w:val="24"/>
          <w:szCs w:val="24"/>
          <w:lang w:eastAsia="en-GB"/>
        </w:rPr>
      </w:pPr>
      <w:bookmarkStart w:id="43" w:name="_Toc13054097"/>
      <w:bookmarkEnd w:id="43"/>
      <w:r>
        <w:rPr>
          <w:rFonts w:ascii="Calibri" w:eastAsia="Times New Roman" w:hAnsi="Calibri" w:cs="Calibri"/>
          <w:color w:val="000000"/>
          <w:lang w:eastAsia="en-GB"/>
        </w:rPr>
        <w:br w:type="page"/>
      </w:r>
    </w:p>
    <w:p w14:paraId="3E95BB7E" w14:textId="37221B90" w:rsidR="00C1184C" w:rsidRDefault="00C1184C" w:rsidP="00C1184C">
      <w:pPr>
        <w:pStyle w:val="Heading3"/>
      </w:pPr>
      <w:bookmarkStart w:id="44" w:name="_Toc13083186"/>
      <w:bookmarkStart w:id="45" w:name="_Toc13087131"/>
      <w:bookmarkStart w:id="46" w:name="_Toc13140361"/>
      <w:bookmarkStart w:id="47" w:name="_Ref13057151"/>
      <w:bookmarkStart w:id="48" w:name="_Toc13087132"/>
      <w:bookmarkStart w:id="49" w:name="_Toc13157219"/>
      <w:bookmarkEnd w:id="44"/>
      <w:bookmarkEnd w:id="45"/>
      <w:bookmarkEnd w:id="46"/>
      <w:r>
        <w:lastRenderedPageBreak/>
        <w:t>Q1.</w:t>
      </w:r>
      <w:r w:rsidR="00141B7E">
        <w:t>4</w:t>
      </w:r>
      <w:r>
        <w:t xml:space="preserve"> – </w:t>
      </w:r>
      <w:r w:rsidR="00FB012C">
        <w:t>UNDERLYING IDENTIFIERS</w:t>
      </w:r>
      <w:bookmarkEnd w:id="47"/>
      <w:bookmarkEnd w:id="48"/>
      <w:bookmarkEnd w:id="49"/>
    </w:p>
    <w:p w14:paraId="114699C2" w14:textId="48C48B55" w:rsidR="00C1184C" w:rsidRDefault="00C1184C" w:rsidP="00DA7FD4">
      <w:pPr>
        <w:spacing w:before="240" w:line="276" w:lineRule="auto"/>
        <w:textAlignment w:val="baseline"/>
        <w:rPr>
          <w:u w:val="single"/>
        </w:rPr>
      </w:pPr>
      <w:r>
        <w:rPr>
          <w:noProof/>
          <w:lang w:eastAsia="en-GB"/>
        </w:rPr>
        <mc:AlternateContent>
          <mc:Choice Requires="wps">
            <w:drawing>
              <wp:anchor distT="45720" distB="45720" distL="114300" distR="114300" simplePos="0" relativeHeight="251482112" behindDoc="0" locked="0" layoutInCell="1" allowOverlap="1" wp14:anchorId="306D79DA" wp14:editId="1F68C49E">
                <wp:simplePos x="0" y="0"/>
                <wp:positionH relativeFrom="margin">
                  <wp:posOffset>0</wp:posOffset>
                </wp:positionH>
                <wp:positionV relativeFrom="paragraph">
                  <wp:posOffset>363220</wp:posOffset>
                </wp:positionV>
                <wp:extent cx="5716905" cy="1404620"/>
                <wp:effectExtent l="0" t="0" r="1714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00497C3" w14:textId="52EE8BA7" w:rsidR="00D52BA4" w:rsidRDefault="00D52BA4" w:rsidP="00C1184C">
                            <w:r>
                              <w:rPr>
                                <w:rStyle w:val="normaltextrun"/>
                                <w:rFonts w:ascii="Calibri" w:hAnsi="Calibri" w:cs="Calibri"/>
                                <w:b/>
                                <w:bCs/>
                                <w:color w:val="000000"/>
                              </w:rPr>
                              <w:t xml:space="preserve">CP1 Question: </w:t>
                            </w:r>
                            <w:r w:rsidRPr="00141B7E">
                              <w:rPr>
                                <w:rStyle w:val="normaltextrun"/>
                                <w:rFonts w:ascii="Calibri" w:hAnsi="Calibri" w:cs="Calibri"/>
                                <w:bCs/>
                                <w:color w:val="000000"/>
                              </w:rPr>
                              <w:t>Do you consider that the underlying identifiers made available by the DSB are sufficient for the OTC ISINs that need to be created or accessed by your institution?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D79DA" id="_x0000_s1033" type="#_x0000_t202" style="position:absolute;margin-left:0;margin-top:28.6pt;width:450.15pt;height:110.6pt;z-index:251482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">
                <v:textbox style="mso-fit-shape-to-text:t">
                  <w:txbxContent>
                    <w:p w14:paraId="100497C3" w14:textId="52EE8BA7" w:rsidR="00D52BA4" w:rsidRDefault="00D52BA4" w:rsidP="00C1184C">
                      <w:r>
                        <w:rPr>
                          <w:rStyle w:val="normaltextrun"/>
                          <w:rFonts w:ascii="Calibri" w:hAnsi="Calibri" w:cs="Calibri"/>
                          <w:b/>
                          <w:bCs/>
                          <w:color w:val="000000"/>
                        </w:rPr>
                        <w:t xml:space="preserve">CP1 Question: </w:t>
                      </w:r>
                      <w:r w:rsidRPr="00141B7E">
                        <w:rPr>
                          <w:rStyle w:val="normaltextrun"/>
                          <w:rFonts w:ascii="Calibri" w:hAnsi="Calibri" w:cs="Calibri"/>
                          <w:bCs/>
                          <w:color w:val="000000"/>
                        </w:rPr>
                        <w:t xml:space="preserve">Do you consider that the underlying identifiers made available by the DSB are </w:t>
                      </w:r>
                      <w:proofErr w:type="gramStart"/>
                      <w:r w:rsidRPr="00141B7E">
                        <w:rPr>
                          <w:rStyle w:val="normaltextrun"/>
                          <w:rFonts w:ascii="Calibri" w:hAnsi="Calibri" w:cs="Calibri"/>
                          <w:bCs/>
                          <w:color w:val="000000"/>
                        </w:rPr>
                        <w:t>sufficient</w:t>
                      </w:r>
                      <w:proofErr w:type="gramEnd"/>
                      <w:r w:rsidRPr="00141B7E">
                        <w:rPr>
                          <w:rStyle w:val="normaltextrun"/>
                          <w:rFonts w:ascii="Calibri" w:hAnsi="Calibri" w:cs="Calibri"/>
                          <w:bCs/>
                          <w:color w:val="000000"/>
                        </w:rPr>
                        <w:t xml:space="preserve"> for the OTC ISINs that need to be created or accessed by your institution?</w:t>
                      </w:r>
                    </w:p>
                  </w:txbxContent>
                </v:textbox>
                <w10:wrap type="square" anchorx="margin"/>
              </v:shape>
            </w:pict>
          </mc:Fallback>
        </mc:AlternateContent>
      </w:r>
      <w:r>
        <w:rPr>
          <w:u w:val="single"/>
        </w:rPr>
        <w:t>Industry Responses</w:t>
      </w:r>
    </w:p>
    <w:p w14:paraId="1A18FCA8" w14:textId="77777777" w:rsidR="00141B7E" w:rsidRDefault="00141B7E" w:rsidP="00141B7E">
      <w:pPr>
        <w:spacing w:before="120" w:after="120" w:line="276" w:lineRule="auto"/>
      </w:pPr>
      <w:r>
        <w:t xml:space="preserve">The responses received to the question posed in the first consultation are set out below.  </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60"/>
        <w:gridCol w:w="656"/>
        <w:gridCol w:w="656"/>
      </w:tblGrid>
      <w:tr w:rsidR="00141B7E" w:rsidRPr="000B57A9" w14:paraId="2310845A" w14:textId="77777777" w:rsidTr="00141B7E">
        <w:trPr>
          <w:trHeight w:val="288"/>
        </w:trPr>
        <w:tc>
          <w:tcPr>
            <w:tcW w:w="1760" w:type="dxa"/>
            <w:vMerge w:val="restart"/>
            <w:shd w:val="clear" w:color="auto" w:fill="auto"/>
            <w:noWrap/>
            <w:vAlign w:val="center"/>
            <w:hideMark/>
          </w:tcPr>
          <w:p w14:paraId="4BA16A1C" w14:textId="77777777" w:rsidR="00141B7E" w:rsidRPr="000B57A9" w:rsidRDefault="00141B7E" w:rsidP="00141B7E">
            <w:pPr>
              <w:spacing w:after="0" w:line="276"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0A708D0A" w14:textId="77777777" w:rsidR="00141B7E" w:rsidRPr="000B57A9" w:rsidRDefault="00141B7E" w:rsidP="00141B7E">
            <w:pPr>
              <w:spacing w:after="0" w:line="276" w:lineRule="auto"/>
              <w:jc w:val="center"/>
              <w:rPr>
                <w:rFonts w:ascii="Calibri" w:eastAsia="Times New Roman" w:hAnsi="Calibri" w:cs="Calibri"/>
                <w:b/>
                <w:bCs/>
                <w:color w:val="000000"/>
                <w:sz w:val="21"/>
                <w:szCs w:val="21"/>
                <w:lang w:eastAsia="en-GB"/>
              </w:rPr>
            </w:pPr>
            <w:r w:rsidRPr="000B57A9">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1ADF7C72" w14:textId="77777777" w:rsidR="00141B7E" w:rsidRPr="000B57A9" w:rsidRDefault="00141B7E" w:rsidP="00141B7E">
            <w:pPr>
              <w:spacing w:after="0" w:line="276" w:lineRule="auto"/>
              <w:jc w:val="center"/>
              <w:rPr>
                <w:rFonts w:ascii="Calibri" w:eastAsia="Times New Roman" w:hAnsi="Calibri" w:cs="Calibri"/>
                <w:b/>
                <w:bCs/>
                <w:color w:val="000000"/>
                <w:sz w:val="21"/>
                <w:szCs w:val="21"/>
                <w:lang w:eastAsia="en-GB"/>
              </w:rPr>
            </w:pPr>
            <w:r w:rsidRPr="000B57A9">
              <w:rPr>
                <w:rFonts w:ascii="Calibri" w:eastAsia="Times New Roman" w:hAnsi="Calibri" w:cs="Calibri"/>
                <w:b/>
                <w:bCs/>
                <w:color w:val="000000"/>
                <w:sz w:val="21"/>
                <w:szCs w:val="21"/>
                <w:lang w:eastAsia="en-GB"/>
              </w:rPr>
              <w:t>No</w:t>
            </w:r>
          </w:p>
        </w:tc>
      </w:tr>
      <w:tr w:rsidR="00141B7E" w:rsidRPr="000B57A9" w14:paraId="059363E1" w14:textId="77777777" w:rsidTr="00141B7E">
        <w:trPr>
          <w:trHeight w:val="288"/>
        </w:trPr>
        <w:tc>
          <w:tcPr>
            <w:tcW w:w="1760" w:type="dxa"/>
            <w:vMerge/>
            <w:vAlign w:val="center"/>
            <w:hideMark/>
          </w:tcPr>
          <w:p w14:paraId="4BB23C26" w14:textId="77777777" w:rsidR="00141B7E" w:rsidRPr="000B57A9" w:rsidRDefault="00141B7E" w:rsidP="00141B7E">
            <w:pPr>
              <w:spacing w:after="0" w:line="276" w:lineRule="auto"/>
              <w:rPr>
                <w:rFonts w:ascii="Times New Roman" w:eastAsia="Times New Roman" w:hAnsi="Times New Roman" w:cs="Times New Roman"/>
                <w:sz w:val="24"/>
                <w:szCs w:val="24"/>
                <w:lang w:eastAsia="en-GB"/>
              </w:rPr>
            </w:pPr>
          </w:p>
        </w:tc>
        <w:tc>
          <w:tcPr>
            <w:tcW w:w="656" w:type="dxa"/>
            <w:shd w:val="clear" w:color="000000" w:fill="63BE7B"/>
            <w:noWrap/>
            <w:vAlign w:val="center"/>
            <w:hideMark/>
          </w:tcPr>
          <w:p w14:paraId="0FBA5446" w14:textId="77777777" w:rsidR="00141B7E" w:rsidRPr="000B57A9" w:rsidRDefault="00141B7E" w:rsidP="00141B7E">
            <w:pPr>
              <w:spacing w:after="0" w:line="276" w:lineRule="auto"/>
              <w:jc w:val="center"/>
              <w:rPr>
                <w:rFonts w:ascii="Calibri" w:eastAsia="Times New Roman" w:hAnsi="Calibri" w:cs="Calibri"/>
                <w:b/>
                <w:bCs/>
                <w:color w:val="000000"/>
                <w:sz w:val="21"/>
                <w:szCs w:val="21"/>
                <w:lang w:eastAsia="en-GB"/>
              </w:rPr>
            </w:pPr>
            <w:r w:rsidRPr="000B57A9">
              <w:rPr>
                <w:rFonts w:ascii="Calibri" w:eastAsia="Times New Roman" w:hAnsi="Calibri" w:cs="Calibri"/>
                <w:b/>
                <w:bCs/>
                <w:color w:val="000000"/>
                <w:sz w:val="21"/>
                <w:szCs w:val="21"/>
                <w:lang w:eastAsia="en-GB"/>
              </w:rPr>
              <w:t>7</w:t>
            </w:r>
          </w:p>
        </w:tc>
        <w:tc>
          <w:tcPr>
            <w:tcW w:w="656" w:type="dxa"/>
            <w:shd w:val="clear" w:color="000000" w:fill="F8696B"/>
            <w:noWrap/>
            <w:vAlign w:val="center"/>
            <w:hideMark/>
          </w:tcPr>
          <w:p w14:paraId="7A3FCC6E" w14:textId="77777777" w:rsidR="00141B7E" w:rsidRPr="000B57A9" w:rsidRDefault="00141B7E" w:rsidP="00141B7E">
            <w:pPr>
              <w:spacing w:after="0" w:line="276" w:lineRule="auto"/>
              <w:jc w:val="center"/>
              <w:rPr>
                <w:rFonts w:ascii="Calibri" w:eastAsia="Times New Roman" w:hAnsi="Calibri" w:cs="Calibri"/>
                <w:b/>
                <w:bCs/>
                <w:color w:val="000000"/>
                <w:sz w:val="21"/>
                <w:szCs w:val="21"/>
                <w:lang w:eastAsia="en-GB"/>
              </w:rPr>
            </w:pPr>
            <w:r w:rsidRPr="000B57A9">
              <w:rPr>
                <w:rFonts w:ascii="Calibri" w:eastAsia="Times New Roman" w:hAnsi="Calibri" w:cs="Calibri"/>
                <w:b/>
                <w:bCs/>
                <w:color w:val="000000"/>
                <w:sz w:val="21"/>
                <w:szCs w:val="21"/>
                <w:lang w:eastAsia="en-GB"/>
              </w:rPr>
              <w:t>2</w:t>
            </w:r>
          </w:p>
        </w:tc>
      </w:tr>
      <w:tr w:rsidR="00141B7E" w:rsidRPr="000B57A9" w14:paraId="72005DB6" w14:textId="77777777" w:rsidTr="00141B7E">
        <w:trPr>
          <w:trHeight w:val="288"/>
        </w:trPr>
        <w:tc>
          <w:tcPr>
            <w:tcW w:w="1760" w:type="dxa"/>
            <w:shd w:val="clear" w:color="auto" w:fill="auto"/>
            <w:noWrap/>
            <w:vAlign w:val="center"/>
            <w:hideMark/>
          </w:tcPr>
          <w:p w14:paraId="026B61D8" w14:textId="77777777" w:rsidR="00141B7E" w:rsidRPr="000B57A9" w:rsidRDefault="00141B7E" w:rsidP="00141B7E">
            <w:pPr>
              <w:spacing w:after="0" w:line="276" w:lineRule="auto"/>
              <w:jc w:val="right"/>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6C954A4C" w14:textId="77777777" w:rsidR="00141B7E" w:rsidRPr="000B57A9" w:rsidRDefault="00141B7E" w:rsidP="00141B7E">
            <w:pPr>
              <w:spacing w:after="0" w:line="276" w:lineRule="auto"/>
              <w:jc w:val="center"/>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3650339B" w14:textId="77777777" w:rsidR="00141B7E" w:rsidRPr="000B57A9" w:rsidRDefault="00141B7E" w:rsidP="00141B7E">
            <w:pPr>
              <w:spacing w:after="0" w:line="276" w:lineRule="auto"/>
              <w:jc w:val="center"/>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1</w:t>
            </w:r>
          </w:p>
        </w:tc>
      </w:tr>
      <w:tr w:rsidR="00141B7E" w:rsidRPr="000B57A9" w14:paraId="4ED82D51" w14:textId="77777777" w:rsidTr="00141B7E">
        <w:trPr>
          <w:trHeight w:val="288"/>
        </w:trPr>
        <w:tc>
          <w:tcPr>
            <w:tcW w:w="1760" w:type="dxa"/>
            <w:shd w:val="clear" w:color="auto" w:fill="auto"/>
            <w:noWrap/>
            <w:vAlign w:val="center"/>
            <w:hideMark/>
          </w:tcPr>
          <w:p w14:paraId="13180D4D" w14:textId="77777777" w:rsidR="00141B7E" w:rsidRPr="000B57A9" w:rsidRDefault="00141B7E" w:rsidP="00141B7E">
            <w:pPr>
              <w:spacing w:after="0" w:line="276" w:lineRule="auto"/>
              <w:jc w:val="right"/>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1CC2F1F5" w14:textId="77777777" w:rsidR="00141B7E" w:rsidRPr="000B57A9" w:rsidRDefault="00141B7E" w:rsidP="00141B7E">
            <w:pPr>
              <w:spacing w:after="0" w:line="276" w:lineRule="auto"/>
              <w:jc w:val="center"/>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5</w:t>
            </w:r>
          </w:p>
        </w:tc>
        <w:tc>
          <w:tcPr>
            <w:tcW w:w="656" w:type="dxa"/>
            <w:shd w:val="clear" w:color="auto" w:fill="auto"/>
            <w:noWrap/>
            <w:vAlign w:val="center"/>
            <w:hideMark/>
          </w:tcPr>
          <w:p w14:paraId="7DC8F335" w14:textId="77777777" w:rsidR="00141B7E" w:rsidRPr="000B57A9" w:rsidRDefault="00141B7E" w:rsidP="00141B7E">
            <w:pPr>
              <w:spacing w:after="0" w:line="276" w:lineRule="auto"/>
              <w:jc w:val="center"/>
              <w:rPr>
                <w:rFonts w:ascii="Calibri" w:eastAsia="Times New Roman" w:hAnsi="Calibri" w:cs="Calibri"/>
                <w:color w:val="000000"/>
                <w:sz w:val="21"/>
                <w:szCs w:val="21"/>
                <w:lang w:eastAsia="en-GB"/>
              </w:rPr>
            </w:pPr>
            <w:r w:rsidRPr="000B57A9">
              <w:rPr>
                <w:rFonts w:ascii="Calibri" w:eastAsia="Times New Roman" w:hAnsi="Calibri" w:cs="Calibri"/>
                <w:color w:val="000000"/>
                <w:sz w:val="21"/>
                <w:szCs w:val="21"/>
                <w:lang w:eastAsia="en-GB"/>
              </w:rPr>
              <w:t>1</w:t>
            </w:r>
          </w:p>
        </w:tc>
      </w:tr>
    </w:tbl>
    <w:p w14:paraId="1E7B63F4" w14:textId="7CFFA696" w:rsidR="00141B7E" w:rsidRDefault="00141B7E" w:rsidP="00141B7E">
      <w:pPr>
        <w:spacing w:before="240" w:after="60" w:line="276" w:lineRule="auto"/>
      </w:pPr>
      <w:r>
        <w:t xml:space="preserve">A clear majority of respondents stated that they were broadly satisfied with the list of underlying identifiers currently available when creating OTC derivative identifiers via the DSB. </w:t>
      </w:r>
    </w:p>
    <w:p w14:paraId="7EB63BF0" w14:textId="77777777" w:rsidR="00141B7E" w:rsidRDefault="00141B7E" w:rsidP="00141B7E">
      <w:pPr>
        <w:spacing w:before="60" w:after="60" w:line="276" w:lineRule="auto"/>
      </w:pPr>
      <w:r>
        <w:t xml:space="preserve">Some users noted that they would wish to see enhanced DSB support for US indices (equities), additional commodities indices and support for OTC derivatives on digital assets. </w:t>
      </w:r>
    </w:p>
    <w:p w14:paraId="30265E26" w14:textId="0D7B53D8" w:rsidR="00141B7E" w:rsidRDefault="00141B7E" w:rsidP="00141B7E">
      <w:pPr>
        <w:spacing w:after="60" w:line="276" w:lineRule="auto"/>
      </w:pPr>
      <w:r>
        <w:t xml:space="preserve">Some buy-side respondents noted the </w:t>
      </w:r>
      <w:r w:rsidRPr="007634B4">
        <w:t xml:space="preserve">importance </w:t>
      </w:r>
      <w:r>
        <w:t xml:space="preserve">of </w:t>
      </w:r>
      <w:r w:rsidRPr="007634B4">
        <w:t xml:space="preserve">the use of </w:t>
      </w:r>
      <w:r>
        <w:t xml:space="preserve">financial instrument </w:t>
      </w:r>
      <w:r w:rsidRPr="007634B4">
        <w:t xml:space="preserve">reference data required in regulatory reporting (e.g. EMIR, MiFIR) </w:t>
      </w:r>
      <w:r>
        <w:t xml:space="preserve">being free of any user licenses </w:t>
      </w:r>
      <w:r w:rsidRPr="007634B4">
        <w:t>along the whole value chain of asset management as provided for by the FSB in case of LEI.</w:t>
      </w:r>
      <w:r>
        <w:t xml:space="preserve"> </w:t>
      </w:r>
    </w:p>
    <w:p w14:paraId="5C8557CE" w14:textId="4F4C4AC7" w:rsidR="00C1184C" w:rsidRDefault="00C1184C" w:rsidP="0058497E">
      <w:pPr>
        <w:spacing w:before="240"/>
        <w:rPr>
          <w:u w:val="single"/>
        </w:rPr>
      </w:pPr>
      <w:r>
        <w:rPr>
          <w:u w:val="single"/>
        </w:rPr>
        <w:t>Analysis of Responses</w:t>
      </w:r>
    </w:p>
    <w:p w14:paraId="0EE095A1" w14:textId="104E0579" w:rsidR="00141B7E" w:rsidRDefault="00141B7E" w:rsidP="00141B7E">
      <w:pPr>
        <w:spacing w:after="60" w:line="276" w:lineRule="auto"/>
      </w:pPr>
      <w:r w:rsidRPr="0058497E">
        <w:t>The DSB already supports th</w:t>
      </w:r>
      <w:r w:rsidR="000F35BB" w:rsidRPr="0058497E">
        <w:t>e</w:t>
      </w:r>
      <w:r w:rsidRPr="0058497E">
        <w:t xml:space="preserve"> principle </w:t>
      </w:r>
      <w:r w:rsidR="000F35BB" w:rsidRPr="0058497E">
        <w:t xml:space="preserve">of free and open data </w:t>
      </w:r>
      <w:r w:rsidRPr="0058497E">
        <w:t>through its policies</w:t>
      </w:r>
      <w:r w:rsidR="000F35BB" w:rsidRPr="0058497E">
        <w:t>.</w:t>
      </w:r>
      <w:r w:rsidRPr="0058497E">
        <w:t xml:space="preserve"> </w:t>
      </w:r>
      <w:r w:rsidR="000F35BB" w:rsidRPr="0058497E">
        <w:t>T</w:t>
      </w:r>
      <w:r w:rsidRPr="0058497E">
        <w:t xml:space="preserve">he OTC derivative reference data record </w:t>
      </w:r>
      <w:r w:rsidR="000F35BB" w:rsidRPr="0058497E">
        <w:t xml:space="preserve">is </w:t>
      </w:r>
      <w:r w:rsidRPr="0058497E">
        <w:t>available for use by industry, without requiring data consumers of end of day files to have to execute a DSB User Agreement.</w:t>
      </w:r>
      <w:r w:rsidRPr="00967EAE">
        <w:t xml:space="preserve"> </w:t>
      </w:r>
    </w:p>
    <w:p w14:paraId="028659C0" w14:textId="77777777" w:rsidR="00C1184C" w:rsidRDefault="00C1184C" w:rsidP="0058497E">
      <w:pPr>
        <w:spacing w:before="240"/>
        <w:rPr>
          <w:u w:val="single"/>
        </w:rPr>
      </w:pPr>
      <w:r>
        <w:rPr>
          <w:u w:val="single"/>
        </w:rPr>
        <w:t>DSB Proposed Next Steps</w:t>
      </w:r>
    </w:p>
    <w:p w14:paraId="6E022FE6" w14:textId="2EBF4BE2" w:rsidR="00141B7E" w:rsidRDefault="00141B7E" w:rsidP="00C1184C">
      <w:r>
        <w:t xml:space="preserve">The DSB proposes to work with the PC to review each of the requests for additional underlying data made above on a </w:t>
      </w:r>
      <w:r w:rsidRPr="00AD1A1F">
        <w:t xml:space="preserve">case by case </w:t>
      </w:r>
      <w:r>
        <w:t>basis as part of its business as usual (subject to PC prioritization) and provide updates to the user community in due course.</w:t>
      </w:r>
    </w:p>
    <w:p w14:paraId="772DBB0B" w14:textId="6127FC33" w:rsidR="00C1184C" w:rsidRDefault="00141B7E" w:rsidP="00C1184C">
      <w:pPr>
        <w:rPr>
          <w:u w:val="single"/>
        </w:rPr>
      </w:pPr>
      <w:r w:rsidRPr="00BB1525">
        <w:rPr>
          <w:noProof/>
          <w:lang w:eastAsia="en-GB"/>
        </w:rPr>
        <mc:AlternateContent>
          <mc:Choice Requires="wps">
            <w:drawing>
              <wp:anchor distT="45720" distB="45720" distL="114300" distR="114300" simplePos="0" relativeHeight="251490304" behindDoc="1" locked="0" layoutInCell="1" allowOverlap="1" wp14:anchorId="5C22B6FE" wp14:editId="114BADC1">
                <wp:simplePos x="0" y="0"/>
                <wp:positionH relativeFrom="margin">
                  <wp:posOffset>-2540</wp:posOffset>
                </wp:positionH>
                <wp:positionV relativeFrom="paragraph">
                  <wp:posOffset>826749</wp:posOffset>
                </wp:positionV>
                <wp:extent cx="5716905" cy="1404620"/>
                <wp:effectExtent l="0" t="0" r="17145" b="21590"/>
                <wp:wrapTight wrapText="bothSides">
                  <wp:wrapPolygon edited="0">
                    <wp:start x="0" y="0"/>
                    <wp:lineTo x="0" y="21676"/>
                    <wp:lineTo x="21593" y="21676"/>
                    <wp:lineTo x="21593"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31238DB" w14:textId="79B5C5B2" w:rsidR="00D52BA4" w:rsidRDefault="00D52BA4" w:rsidP="00C118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41B7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existing PC secretariat resources to manage requests for additional underlying data such as US equities</w:t>
                            </w:r>
                            <w:r w:rsidRPr="00141B7E">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22B6FE" id="Text Box 14" o:spid="_x0000_s1034" type="#_x0000_t202" style="position:absolute;margin-left:-.2pt;margin-top:65.1pt;width:450.15pt;height:110.6pt;z-index:-251826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">
                <v:textbox style="mso-fit-shape-to-text:t">
                  <w:txbxContent>
                    <w:p w14:paraId="531238DB" w14:textId="79B5C5B2" w:rsidR="00D52BA4" w:rsidRDefault="00D52BA4" w:rsidP="00C118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41B7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existing PC secretariat resources to manage requests for additional underlying data such as US equities</w:t>
                      </w:r>
                      <w:r w:rsidRPr="00141B7E">
                        <w:rPr>
                          <w:rStyle w:val="eop"/>
                          <w:rFonts w:ascii="Calibri" w:eastAsiaTheme="majorEastAsia" w:hAnsi="Calibri" w:cs="Calibri"/>
                          <w:sz w:val="22"/>
                          <w:szCs w:val="22"/>
                        </w:rPr>
                        <w:t>?</w:t>
                      </w:r>
                    </w:p>
                  </w:txbxContent>
                </v:textbox>
                <w10:wrap type="tight" anchorx="margin"/>
              </v:shape>
            </w:pict>
          </mc:Fallback>
        </mc:AlternateContent>
      </w:r>
      <w:r>
        <w:t>The implication of this model is that no ring-fenced resources are available to progress this initiative, and the work itself is dependent on prioritisation by the PC relative to the full set of business as usual requests being considered by PC.</w:t>
      </w:r>
    </w:p>
    <w:p w14:paraId="24DEAE55" w14:textId="77777777" w:rsidR="00BE367E" w:rsidRDefault="00BE367E" w:rsidP="00BE367E">
      <w:pPr>
        <w:spacing w:before="100" w:beforeAutospacing="1" w:after="100" w:afterAutospacing="1" w:line="276" w:lineRule="auto"/>
        <w:textAlignment w:val="baseline"/>
        <w:rPr>
          <w:rFonts w:ascii="Calibri" w:eastAsia="Times New Roman" w:hAnsi="Calibri" w:cs="Calibri"/>
          <w:color w:val="000000"/>
          <w:lang w:eastAsia="en-GB"/>
        </w:rPr>
      </w:pPr>
    </w:p>
    <w:bookmarkStart w:id="50" w:name="_Ref13057161"/>
    <w:bookmarkStart w:id="51" w:name="_Toc13087133"/>
    <w:bookmarkStart w:id="52" w:name="_Toc13157220"/>
    <w:p w14:paraId="0DD2B5CB" w14:textId="5AF9E797" w:rsidR="00BE367E" w:rsidRDefault="0040351E" w:rsidP="00BE367E">
      <w:pPr>
        <w:pStyle w:val="Heading3"/>
      </w:pPr>
      <w:r>
        <w:rPr>
          <w:noProof/>
          <w:lang w:eastAsia="en-GB"/>
        </w:rPr>
        <w:lastRenderedPageBreak/>
        <mc:AlternateContent>
          <mc:Choice Requires="wps">
            <w:drawing>
              <wp:anchor distT="45720" distB="45720" distL="114300" distR="114300" simplePos="0" relativeHeight="251518976" behindDoc="0" locked="0" layoutInCell="1" allowOverlap="1" wp14:anchorId="008A0A02" wp14:editId="1F557C1D">
                <wp:simplePos x="0" y="0"/>
                <wp:positionH relativeFrom="margin">
                  <wp:align>right</wp:align>
                </wp:positionH>
                <wp:positionV relativeFrom="paragraph">
                  <wp:posOffset>349195</wp:posOffset>
                </wp:positionV>
                <wp:extent cx="5716905" cy="1404620"/>
                <wp:effectExtent l="0" t="0" r="17145"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D3DBD29" w14:textId="116AB5F1" w:rsidR="00D52BA4" w:rsidRDefault="00D52BA4" w:rsidP="00BE367E">
                            <w:r>
                              <w:rPr>
                                <w:rStyle w:val="normaltextrun"/>
                                <w:rFonts w:ascii="Calibri" w:hAnsi="Calibri" w:cs="Calibri"/>
                                <w:b/>
                                <w:bCs/>
                                <w:color w:val="000000"/>
                              </w:rPr>
                              <w:t xml:space="preserve">CP1 Question: </w:t>
                            </w:r>
                            <w:r w:rsidRPr="0040351E">
                              <w:rPr>
                                <w:rStyle w:val="normaltextrun"/>
                                <w:rFonts w:ascii="Calibri" w:hAnsi="Calibri" w:cs="Calibri"/>
                                <w:bCs/>
                                <w:color w:val="000000"/>
                              </w:rPr>
                              <w:t>Should the DSB investigate the enhancement of its web-based GUI to allow non-technical users to search for ISINs by any attribute across any product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A0A02" id="_x0000_s1035" type="#_x0000_t202" style="position:absolute;left:0;text-align:left;margin-left:398.95pt;margin-top:27.5pt;width:450.15pt;height:110.6pt;z-index:251518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kqJwIAAE0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">
                <v:textbox style="mso-fit-shape-to-text:t">
                  <w:txbxContent>
                    <w:p w14:paraId="6D3DBD29" w14:textId="116AB5F1" w:rsidR="00D52BA4" w:rsidRDefault="00D52BA4" w:rsidP="00BE367E">
                      <w:r>
                        <w:rPr>
                          <w:rStyle w:val="normaltextrun"/>
                          <w:rFonts w:ascii="Calibri" w:hAnsi="Calibri" w:cs="Calibri"/>
                          <w:b/>
                          <w:bCs/>
                          <w:color w:val="000000"/>
                        </w:rPr>
                        <w:t xml:space="preserve">CP1 Question: </w:t>
                      </w:r>
                      <w:r w:rsidRPr="0040351E">
                        <w:rPr>
                          <w:rStyle w:val="normaltextrun"/>
                          <w:rFonts w:ascii="Calibri" w:hAnsi="Calibri" w:cs="Calibri"/>
                          <w:bCs/>
                          <w:color w:val="000000"/>
                        </w:rPr>
                        <w:t>Should the DSB investigate the enhancement of its web-based GUI to allow non-technical users to search for ISINs by any attribute across any product template?</w:t>
                      </w:r>
                    </w:p>
                  </w:txbxContent>
                </v:textbox>
                <w10:wrap type="square" anchorx="margin"/>
              </v:shape>
            </w:pict>
          </mc:Fallback>
        </mc:AlternateContent>
      </w:r>
      <w:r w:rsidR="00BE367E">
        <w:t xml:space="preserve">Q1.5 – </w:t>
      </w:r>
      <w:r>
        <w:t>GUI ENHANCEMENTS</w:t>
      </w:r>
      <w:bookmarkEnd w:id="50"/>
      <w:bookmarkEnd w:id="51"/>
      <w:bookmarkEnd w:id="52"/>
    </w:p>
    <w:p w14:paraId="6794E816" w14:textId="31AEE1BC" w:rsidR="00BE367E" w:rsidRDefault="00BE367E" w:rsidP="00BE367E">
      <w:pPr>
        <w:spacing w:before="100" w:beforeAutospacing="1" w:after="100" w:afterAutospacing="1" w:line="276" w:lineRule="auto"/>
        <w:textAlignment w:val="baseline"/>
        <w:rPr>
          <w:u w:val="single"/>
        </w:rPr>
      </w:pPr>
      <w:r>
        <w:rPr>
          <w:u w:val="single"/>
        </w:rPr>
        <w:t>Industry Responses</w:t>
      </w:r>
    </w:p>
    <w:p w14:paraId="6841ABCE" w14:textId="77777777" w:rsidR="0040351E" w:rsidRDefault="0040351E" w:rsidP="0040351E">
      <w:pPr>
        <w:spacing w:before="120" w:after="240" w:line="276" w:lineRule="auto"/>
      </w:pPr>
      <w:r>
        <w:t xml:space="preserve">The responses received to the question posed in the first consultation are set out below.  </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40351E" w14:paraId="7C02422A" w14:textId="77777777" w:rsidTr="0040351E">
        <w:trPr>
          <w:trHeight w:val="288"/>
        </w:trPr>
        <w:tc>
          <w:tcPr>
            <w:tcW w:w="2127" w:type="dxa"/>
            <w:vMerge w:val="restart"/>
            <w:noWrap/>
            <w:vAlign w:val="center"/>
            <w:hideMark/>
          </w:tcPr>
          <w:p w14:paraId="3A68F44C" w14:textId="77777777" w:rsidR="0040351E" w:rsidRDefault="0040351E" w:rsidP="0040351E"/>
        </w:tc>
        <w:tc>
          <w:tcPr>
            <w:tcW w:w="289" w:type="dxa"/>
            <w:noWrap/>
            <w:vAlign w:val="center"/>
            <w:hideMark/>
          </w:tcPr>
          <w:p w14:paraId="6770E81D" w14:textId="77777777" w:rsidR="0040351E" w:rsidRDefault="0040351E" w:rsidP="0040351E">
            <w:pPr>
              <w:spacing w:after="0" w:line="276" w:lineRule="auto"/>
              <w:jc w:val="center"/>
              <w:rPr>
                <w:rFonts w:ascii="Calibri" w:eastAsia="Times New Roman" w:hAnsi="Calibri" w:cs="Calibri"/>
                <w:b/>
                <w:bCs/>
                <w:sz w:val="21"/>
                <w:szCs w:val="21"/>
                <w:lang w:eastAsia="en-GB"/>
              </w:rPr>
            </w:pPr>
            <w:r>
              <w:rPr>
                <w:rFonts w:ascii="Calibri" w:eastAsia="Times New Roman" w:hAnsi="Calibri" w:cs="Calibri"/>
                <w:b/>
                <w:bCs/>
                <w:sz w:val="21"/>
                <w:szCs w:val="21"/>
                <w:lang w:eastAsia="en-GB"/>
              </w:rPr>
              <w:t>Yes</w:t>
            </w:r>
          </w:p>
        </w:tc>
        <w:tc>
          <w:tcPr>
            <w:tcW w:w="656" w:type="dxa"/>
            <w:noWrap/>
            <w:vAlign w:val="center"/>
            <w:hideMark/>
          </w:tcPr>
          <w:p w14:paraId="71859EF0" w14:textId="77777777" w:rsidR="0040351E" w:rsidRDefault="0040351E" w:rsidP="0040351E">
            <w:pPr>
              <w:spacing w:after="0" w:line="276" w:lineRule="auto"/>
              <w:jc w:val="center"/>
              <w:rPr>
                <w:rFonts w:ascii="Calibri" w:eastAsia="Times New Roman" w:hAnsi="Calibri" w:cs="Calibri"/>
                <w:b/>
                <w:bCs/>
                <w:sz w:val="21"/>
                <w:szCs w:val="21"/>
                <w:lang w:eastAsia="en-GB"/>
              </w:rPr>
            </w:pPr>
            <w:r>
              <w:rPr>
                <w:rFonts w:ascii="Calibri" w:eastAsia="Times New Roman" w:hAnsi="Calibri" w:cs="Calibri"/>
                <w:b/>
                <w:bCs/>
                <w:sz w:val="21"/>
                <w:szCs w:val="21"/>
                <w:lang w:eastAsia="en-GB"/>
              </w:rPr>
              <w:t>No</w:t>
            </w:r>
          </w:p>
        </w:tc>
      </w:tr>
      <w:tr w:rsidR="0040351E" w14:paraId="421E5F0B" w14:textId="77777777" w:rsidTr="0040351E">
        <w:trPr>
          <w:trHeight w:val="288"/>
        </w:trPr>
        <w:tc>
          <w:tcPr>
            <w:tcW w:w="2127" w:type="dxa"/>
            <w:vMerge/>
            <w:vAlign w:val="center"/>
            <w:hideMark/>
          </w:tcPr>
          <w:p w14:paraId="7DB136EC" w14:textId="77777777" w:rsidR="0040351E" w:rsidRDefault="0040351E" w:rsidP="0040351E">
            <w:pPr>
              <w:spacing w:after="0"/>
            </w:pPr>
          </w:p>
        </w:tc>
        <w:tc>
          <w:tcPr>
            <w:tcW w:w="289" w:type="dxa"/>
            <w:shd w:val="clear" w:color="auto" w:fill="63BE7B"/>
            <w:noWrap/>
            <w:vAlign w:val="center"/>
            <w:hideMark/>
          </w:tcPr>
          <w:p w14:paraId="1294EAB5" w14:textId="77777777" w:rsidR="0040351E" w:rsidRDefault="0040351E" w:rsidP="0040351E">
            <w:pPr>
              <w:spacing w:after="0" w:line="276" w:lineRule="auto"/>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7</w:t>
            </w:r>
          </w:p>
        </w:tc>
        <w:tc>
          <w:tcPr>
            <w:tcW w:w="656" w:type="dxa"/>
            <w:shd w:val="clear" w:color="auto" w:fill="FDD57F"/>
            <w:noWrap/>
            <w:vAlign w:val="center"/>
            <w:hideMark/>
          </w:tcPr>
          <w:p w14:paraId="75FCD5AD" w14:textId="77777777" w:rsidR="0040351E" w:rsidRDefault="0040351E" w:rsidP="0040351E">
            <w:pPr>
              <w:spacing w:after="0" w:line="276" w:lineRule="auto"/>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5</w:t>
            </w:r>
          </w:p>
        </w:tc>
      </w:tr>
      <w:tr w:rsidR="0040351E" w14:paraId="3C984866" w14:textId="77777777" w:rsidTr="0040351E">
        <w:trPr>
          <w:trHeight w:val="288"/>
        </w:trPr>
        <w:tc>
          <w:tcPr>
            <w:tcW w:w="2127" w:type="dxa"/>
            <w:noWrap/>
            <w:vAlign w:val="center"/>
            <w:hideMark/>
          </w:tcPr>
          <w:p w14:paraId="22310D07" w14:textId="77777777" w:rsidR="0040351E" w:rsidRDefault="0040351E" w:rsidP="0040351E">
            <w:pPr>
              <w:spacing w:after="0" w:line="276" w:lineRule="auto"/>
              <w:jc w:val="right"/>
              <w:rPr>
                <w:rFonts w:ascii="Calibri" w:eastAsia="Times New Roman" w:hAnsi="Calibri" w:cs="Calibri"/>
                <w:sz w:val="21"/>
                <w:szCs w:val="21"/>
                <w:lang w:eastAsia="en-GB"/>
              </w:rPr>
            </w:pPr>
            <w:r>
              <w:rPr>
                <w:rFonts w:ascii="Calibri" w:eastAsia="Times New Roman" w:hAnsi="Calibri" w:cs="Calibri"/>
                <w:sz w:val="21"/>
                <w:szCs w:val="21"/>
                <w:lang w:eastAsia="en-GB"/>
              </w:rPr>
              <w:t>Trade Associations</w:t>
            </w:r>
          </w:p>
        </w:tc>
        <w:tc>
          <w:tcPr>
            <w:tcW w:w="289" w:type="dxa"/>
            <w:noWrap/>
            <w:vAlign w:val="center"/>
            <w:hideMark/>
          </w:tcPr>
          <w:p w14:paraId="4ECD8BD3" w14:textId="77777777" w:rsidR="0040351E" w:rsidRDefault="0040351E" w:rsidP="0040351E">
            <w:pPr>
              <w:spacing w:after="0" w:line="276" w:lineRule="auto"/>
              <w:jc w:val="center"/>
              <w:rPr>
                <w:rFonts w:ascii="Calibri" w:eastAsia="Times New Roman" w:hAnsi="Calibri" w:cs="Calibri"/>
                <w:sz w:val="21"/>
                <w:szCs w:val="21"/>
                <w:lang w:eastAsia="en-GB"/>
              </w:rPr>
            </w:pPr>
            <w:r>
              <w:rPr>
                <w:rFonts w:ascii="Calibri" w:eastAsia="Times New Roman" w:hAnsi="Calibri" w:cs="Calibri"/>
                <w:sz w:val="21"/>
                <w:szCs w:val="21"/>
                <w:lang w:eastAsia="en-GB"/>
              </w:rPr>
              <w:t>3</w:t>
            </w:r>
          </w:p>
        </w:tc>
        <w:tc>
          <w:tcPr>
            <w:tcW w:w="656" w:type="dxa"/>
            <w:noWrap/>
            <w:vAlign w:val="center"/>
            <w:hideMark/>
          </w:tcPr>
          <w:p w14:paraId="3E7A0607" w14:textId="77777777" w:rsidR="0040351E" w:rsidRDefault="0040351E" w:rsidP="0040351E">
            <w:pPr>
              <w:spacing w:after="0" w:line="276" w:lineRule="auto"/>
              <w:jc w:val="center"/>
              <w:rPr>
                <w:rFonts w:ascii="Calibri" w:eastAsia="Times New Roman" w:hAnsi="Calibri" w:cs="Calibri"/>
                <w:color w:val="FFFFFF"/>
                <w:sz w:val="21"/>
                <w:szCs w:val="21"/>
                <w:lang w:eastAsia="en-GB"/>
              </w:rPr>
            </w:pPr>
            <w:r w:rsidRPr="0058497E">
              <w:rPr>
                <w:rFonts w:ascii="Calibri" w:eastAsia="Times New Roman" w:hAnsi="Calibri" w:cs="Calibri"/>
                <w:color w:val="FFFFFF" w:themeColor="background1"/>
                <w:sz w:val="21"/>
                <w:szCs w:val="21"/>
                <w:lang w:eastAsia="en-GB"/>
              </w:rPr>
              <w:t>0</w:t>
            </w:r>
          </w:p>
        </w:tc>
      </w:tr>
      <w:tr w:rsidR="0040351E" w14:paraId="1619F182" w14:textId="77777777" w:rsidTr="0040351E">
        <w:trPr>
          <w:trHeight w:val="288"/>
        </w:trPr>
        <w:tc>
          <w:tcPr>
            <w:tcW w:w="2127" w:type="dxa"/>
            <w:noWrap/>
            <w:vAlign w:val="center"/>
            <w:hideMark/>
          </w:tcPr>
          <w:p w14:paraId="391E4427" w14:textId="77777777" w:rsidR="0040351E" w:rsidRDefault="0040351E" w:rsidP="0040351E">
            <w:pPr>
              <w:spacing w:after="0" w:line="276" w:lineRule="auto"/>
              <w:jc w:val="right"/>
              <w:rPr>
                <w:rFonts w:ascii="Calibri" w:eastAsia="Times New Roman" w:hAnsi="Calibri" w:cs="Calibri"/>
                <w:sz w:val="21"/>
                <w:szCs w:val="21"/>
                <w:lang w:eastAsia="en-GB"/>
              </w:rPr>
            </w:pPr>
            <w:r>
              <w:rPr>
                <w:rFonts w:ascii="Calibri" w:eastAsia="Times New Roman" w:hAnsi="Calibri" w:cs="Calibri"/>
                <w:sz w:val="21"/>
                <w:szCs w:val="21"/>
                <w:lang w:eastAsia="en-GB"/>
              </w:rPr>
              <w:t>DSB Users</w:t>
            </w:r>
          </w:p>
        </w:tc>
        <w:tc>
          <w:tcPr>
            <w:tcW w:w="289" w:type="dxa"/>
            <w:noWrap/>
            <w:vAlign w:val="center"/>
            <w:hideMark/>
          </w:tcPr>
          <w:p w14:paraId="59295080" w14:textId="77777777" w:rsidR="0040351E" w:rsidRDefault="0040351E" w:rsidP="0040351E">
            <w:pPr>
              <w:spacing w:after="0" w:line="276" w:lineRule="auto"/>
              <w:jc w:val="center"/>
              <w:rPr>
                <w:rFonts w:ascii="Calibri" w:eastAsia="Times New Roman" w:hAnsi="Calibri" w:cs="Calibri"/>
                <w:sz w:val="21"/>
                <w:szCs w:val="21"/>
                <w:lang w:eastAsia="en-GB"/>
              </w:rPr>
            </w:pPr>
            <w:r>
              <w:rPr>
                <w:rFonts w:ascii="Calibri" w:eastAsia="Times New Roman" w:hAnsi="Calibri" w:cs="Calibri"/>
                <w:sz w:val="21"/>
                <w:szCs w:val="21"/>
                <w:lang w:eastAsia="en-GB"/>
              </w:rPr>
              <w:t>4</w:t>
            </w:r>
          </w:p>
        </w:tc>
        <w:tc>
          <w:tcPr>
            <w:tcW w:w="656" w:type="dxa"/>
            <w:noWrap/>
            <w:vAlign w:val="center"/>
            <w:hideMark/>
          </w:tcPr>
          <w:p w14:paraId="21023184" w14:textId="77777777" w:rsidR="0040351E" w:rsidRDefault="0040351E" w:rsidP="0040351E">
            <w:pPr>
              <w:spacing w:after="0" w:line="276" w:lineRule="auto"/>
              <w:jc w:val="center"/>
              <w:rPr>
                <w:rFonts w:ascii="Calibri" w:eastAsia="Times New Roman" w:hAnsi="Calibri" w:cs="Calibri"/>
                <w:sz w:val="21"/>
                <w:szCs w:val="21"/>
                <w:lang w:eastAsia="en-GB"/>
              </w:rPr>
            </w:pPr>
            <w:r>
              <w:rPr>
                <w:rFonts w:ascii="Calibri" w:eastAsia="Times New Roman" w:hAnsi="Calibri" w:cs="Calibri"/>
                <w:sz w:val="21"/>
                <w:szCs w:val="21"/>
                <w:lang w:eastAsia="en-GB"/>
              </w:rPr>
              <w:t>5</w:t>
            </w:r>
          </w:p>
        </w:tc>
      </w:tr>
    </w:tbl>
    <w:p w14:paraId="45DB4FF4" w14:textId="09970E93" w:rsidR="0040351E" w:rsidRDefault="0040351E" w:rsidP="0040351E">
      <w:pPr>
        <w:spacing w:before="60" w:after="60" w:line="276" w:lineRule="auto"/>
      </w:pPr>
    </w:p>
    <w:p w14:paraId="7C52BA93" w14:textId="560318C0" w:rsidR="0040351E" w:rsidRDefault="0040351E" w:rsidP="0040351E">
      <w:pPr>
        <w:spacing w:before="60" w:after="60" w:line="276" w:lineRule="auto"/>
      </w:pPr>
      <w:r>
        <w:t xml:space="preserve">There was a mixed response to this question, with a slight majority in favour of </w:t>
      </w:r>
      <w:r w:rsidR="00041098">
        <w:t xml:space="preserve">providing </w:t>
      </w:r>
      <w:r>
        <w:t>better functionality, and a significant minority composed of trading venues seeing no need for any further capabilities</w:t>
      </w:r>
    </w:p>
    <w:p w14:paraId="0CCC9C01" w14:textId="77777777" w:rsidR="0040351E" w:rsidRDefault="0040351E" w:rsidP="0040351E">
      <w:pPr>
        <w:spacing w:before="60" w:after="60" w:line="276" w:lineRule="auto"/>
      </w:pPr>
      <w:r>
        <w:t xml:space="preserve">Of those who were supportive, the focus was on making search queries more user-friendly and to simplify access to required regulatory information. Some specific examples provided as part of the consultation responses included requests to filter searches by asset class, by product type, by creation date and by last update date. </w:t>
      </w:r>
    </w:p>
    <w:p w14:paraId="56988ECC" w14:textId="5A97B833" w:rsidR="00BE367E" w:rsidRDefault="00BE367E" w:rsidP="0058497E">
      <w:pPr>
        <w:spacing w:before="240"/>
        <w:rPr>
          <w:u w:val="single"/>
        </w:rPr>
      </w:pPr>
      <w:r>
        <w:rPr>
          <w:u w:val="single"/>
        </w:rPr>
        <w:t>Analysis of Responses</w:t>
      </w:r>
    </w:p>
    <w:p w14:paraId="681B671D" w14:textId="77777777" w:rsidR="0040351E" w:rsidRDefault="0040351E" w:rsidP="00DA7FD4">
      <w:pPr>
        <w:spacing w:before="120" w:after="120" w:line="276" w:lineRule="auto"/>
      </w:pPr>
      <w:r>
        <w:t>The consultation responses were reviewed at the 18 June TAC meeting, and there was general consensus that the focus of any GUI enhancement should be on users who access the DSB’s services on an occasional basis. The TAC saw less need for the provision of GUI services to cater for high volume users, as the TAC felt that such users should be relying on the DSB’s API services instead.</w:t>
      </w:r>
    </w:p>
    <w:p w14:paraId="7E4F9FC5" w14:textId="77777777" w:rsidR="0040351E" w:rsidRDefault="0040351E" w:rsidP="0040351E">
      <w:pPr>
        <w:spacing w:before="240" w:after="120" w:line="276" w:lineRule="auto"/>
      </w:pPr>
      <w:r>
        <w:t xml:space="preserve">The TAC concluded that the focus of any GUI enhancement should be on easy-to-use search functionality with a limited set of commonly requested search criteria. </w:t>
      </w:r>
    </w:p>
    <w:p w14:paraId="4FB13968" w14:textId="77777777" w:rsidR="0040351E" w:rsidRPr="00DA7FD4" w:rsidRDefault="0040351E" w:rsidP="0040351E">
      <w:pPr>
        <w:spacing w:before="240" w:after="120" w:line="276" w:lineRule="auto"/>
      </w:pPr>
      <w:r>
        <w:t xml:space="preserve">One example provided by a TAC member was to implement an easy-to-use </w:t>
      </w:r>
      <w:r w:rsidRPr="0058497E">
        <w:t xml:space="preserve">mechanism </w:t>
      </w:r>
      <w:r w:rsidRPr="00DA7FD4">
        <w:t>to return the ISIN record itself and not the ISIN records of derivatives on that ISIN.</w:t>
      </w:r>
    </w:p>
    <w:p w14:paraId="35AB1D26" w14:textId="77777777" w:rsidR="00BE367E" w:rsidRDefault="00BE367E" w:rsidP="0058497E">
      <w:pPr>
        <w:spacing w:before="240"/>
        <w:rPr>
          <w:u w:val="single"/>
        </w:rPr>
      </w:pPr>
      <w:r>
        <w:rPr>
          <w:u w:val="single"/>
        </w:rPr>
        <w:t>DSB Proposed Next Steps</w:t>
      </w:r>
    </w:p>
    <w:p w14:paraId="3FFE7554" w14:textId="49E24148" w:rsidR="0040351E" w:rsidRDefault="0040351E" w:rsidP="00DA7FD4">
      <w:pPr>
        <w:spacing w:before="120" w:after="60" w:line="276" w:lineRule="auto"/>
      </w:pPr>
      <w:r>
        <w:t xml:space="preserve">The DSB proposes to implement a limited set of search filters based on the feedback provided in CP1, liaising with the PC and the TAC to finalise the set of filters and reach agreement on the implementation approach. </w:t>
      </w:r>
    </w:p>
    <w:p w14:paraId="1FE7FACC" w14:textId="4C491083" w:rsidR="0040351E" w:rsidRDefault="0040351E" w:rsidP="0040351E">
      <w:pPr>
        <w:spacing w:before="100" w:beforeAutospacing="1" w:line="276" w:lineRule="auto"/>
        <w:textAlignment w:val="baseline"/>
        <w:rPr>
          <w:rFonts w:eastAsia="Times New Roman"/>
          <w:color w:val="000000"/>
          <w:lang w:eastAsia="en-GB"/>
        </w:rPr>
      </w:pPr>
      <w:r>
        <w:rPr>
          <w:rFonts w:eastAsia="Times New Roman"/>
          <w:color w:val="000000"/>
          <w:lang w:eastAsia="en-GB"/>
        </w:rPr>
        <w:t>Anticipated costs are provided below, based on implementing the examples provided in the CP1 feedback listed in this document and also the TAC example: </w:t>
      </w:r>
    </w:p>
    <w:p w14:paraId="218D3170" w14:textId="77777777" w:rsidR="0040351E" w:rsidRDefault="0040351E" w:rsidP="0040351E">
      <w:pPr>
        <w:pStyle w:val="ListParagraph"/>
        <w:numPr>
          <w:ilvl w:val="0"/>
          <w:numId w:val="41"/>
        </w:numPr>
        <w:spacing w:after="100" w:afterAutospacing="1" w:line="276" w:lineRule="auto"/>
        <w:textAlignment w:val="baseline"/>
        <w:rPr>
          <w:rFonts w:eastAsia="Times New Roman"/>
          <w:color w:val="000000"/>
          <w:lang w:eastAsia="en-GB"/>
        </w:rPr>
      </w:pPr>
      <w:r>
        <w:rPr>
          <w:rFonts w:eastAsia="Times New Roman"/>
          <w:color w:val="000000"/>
          <w:lang w:eastAsia="en-GB"/>
        </w:rPr>
        <w:t>Capex: €60k, to support liaison with PC and TAC to finalise functionality and technical design</w:t>
      </w:r>
    </w:p>
    <w:p w14:paraId="40AE5A8C" w14:textId="77777777" w:rsidR="0040351E" w:rsidRDefault="0040351E" w:rsidP="0040351E">
      <w:pPr>
        <w:pStyle w:val="ListParagraph"/>
        <w:numPr>
          <w:ilvl w:val="0"/>
          <w:numId w:val="41"/>
        </w:numPr>
        <w:spacing w:before="100" w:beforeAutospacing="1" w:after="100" w:afterAutospacing="1" w:line="276" w:lineRule="auto"/>
        <w:textAlignment w:val="baseline"/>
        <w:rPr>
          <w:rFonts w:eastAsia="Times New Roman"/>
          <w:color w:val="000000"/>
          <w:lang w:eastAsia="en-GB"/>
        </w:rPr>
      </w:pPr>
      <w:r>
        <w:rPr>
          <w:rFonts w:eastAsia="Times New Roman"/>
          <w:color w:val="000000"/>
          <w:lang w:eastAsia="en-GB"/>
        </w:rPr>
        <w:t>Capex: €200k for the build cost  </w:t>
      </w:r>
    </w:p>
    <w:p w14:paraId="7BD483EC" w14:textId="77777777" w:rsidR="0040351E" w:rsidRDefault="0040351E" w:rsidP="0040351E">
      <w:pPr>
        <w:pStyle w:val="ListParagraph"/>
        <w:numPr>
          <w:ilvl w:val="0"/>
          <w:numId w:val="41"/>
        </w:numPr>
        <w:spacing w:before="100" w:beforeAutospacing="1" w:after="100" w:afterAutospacing="1" w:line="276" w:lineRule="auto"/>
        <w:textAlignment w:val="baseline"/>
        <w:rPr>
          <w:rFonts w:eastAsia="Times New Roman"/>
          <w:color w:val="000000"/>
          <w:lang w:eastAsia="en-GB"/>
        </w:rPr>
      </w:pPr>
      <w:proofErr w:type="spellStart"/>
      <w:r>
        <w:rPr>
          <w:rFonts w:eastAsia="Times New Roman"/>
          <w:color w:val="000000"/>
          <w:lang w:eastAsia="en-GB"/>
        </w:rPr>
        <w:lastRenderedPageBreak/>
        <w:t>Opex</w:t>
      </w:r>
      <w:proofErr w:type="spellEnd"/>
      <w:r>
        <w:rPr>
          <w:rFonts w:eastAsia="Times New Roman"/>
          <w:color w:val="000000"/>
          <w:lang w:eastAsia="en-GB"/>
        </w:rPr>
        <w:t>: €40k annual run cost (infrastructure + support staff) from 2021</w:t>
      </w:r>
    </w:p>
    <w:p w14:paraId="22D5F77D" w14:textId="05570E5E" w:rsidR="0040351E" w:rsidRPr="00A37E1C" w:rsidRDefault="00913CDA" w:rsidP="00DA7FD4">
      <w:pPr>
        <w:spacing w:line="256" w:lineRule="auto"/>
        <w:rPr>
          <w:rFonts w:eastAsia="Times New Roman"/>
          <w:color w:val="000000"/>
          <w:lang w:eastAsia="en-GB"/>
        </w:rPr>
      </w:pPr>
      <w:r w:rsidRPr="00BB1525">
        <w:rPr>
          <w:noProof/>
          <w:lang w:eastAsia="en-GB"/>
        </w:rPr>
        <mc:AlternateContent>
          <mc:Choice Requires="wps">
            <w:drawing>
              <wp:anchor distT="45720" distB="45720" distL="114300" distR="114300" simplePos="0" relativeHeight="251526144" behindDoc="1" locked="0" layoutInCell="1" allowOverlap="1" wp14:anchorId="6FC4D0D4" wp14:editId="2D872473">
                <wp:simplePos x="0" y="0"/>
                <wp:positionH relativeFrom="margin">
                  <wp:align>right</wp:align>
                </wp:positionH>
                <wp:positionV relativeFrom="paragraph">
                  <wp:posOffset>566337</wp:posOffset>
                </wp:positionV>
                <wp:extent cx="5716905" cy="1404620"/>
                <wp:effectExtent l="0" t="0" r="17145" b="21590"/>
                <wp:wrapTight wrapText="bothSides">
                  <wp:wrapPolygon edited="0">
                    <wp:start x="0" y="0"/>
                    <wp:lineTo x="0" y="21676"/>
                    <wp:lineTo x="21593" y="21676"/>
                    <wp:lineTo x="21593"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B71DF7B" w14:textId="15FE055E" w:rsidR="00D52BA4" w:rsidRDefault="00D52BA4" w:rsidP="00913CDA">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5: </w:t>
                            </w:r>
                            <w:r w:rsidRPr="00913CDA">
                              <w:rPr>
                                <w:rStyle w:val="normaltextrun"/>
                                <w:rFonts w:ascii="Calibri" w:hAnsi="Calibri" w:cs="Calibri"/>
                                <w:color w:val="000000"/>
                                <w:sz w:val="22"/>
                                <w:szCs w:val="22"/>
                              </w:rPr>
                              <w:t>Do you concur with the DSB’s proposal</w:t>
                            </w:r>
                            <w:r>
                              <w:rPr>
                                <w:rStyle w:val="normaltextrun"/>
                                <w:rFonts w:ascii="Calibri" w:hAnsi="Calibri" w:cs="Calibri"/>
                                <w:color w:val="000000"/>
                                <w:sz w:val="22"/>
                                <w:szCs w:val="22"/>
                              </w:rPr>
                              <w:t xml:space="preserve"> to implement a minimal set of search filters targeting non-technical users</w:t>
                            </w:r>
                            <w:r w:rsidRPr="00913CDA">
                              <w:rPr>
                                <w:rStyle w:val="normaltextrun"/>
                                <w:rFonts w:ascii="Calibri" w:hAnsi="Calibri" w:cs="Calibri"/>
                                <w:color w:val="000000"/>
                                <w:sz w:val="22"/>
                                <w:szCs w:val="22"/>
                              </w:rPr>
                              <w:t>?</w:t>
                            </w:r>
                            <w:r w:rsidRPr="00F72611">
                              <w:rPr>
                                <w:rStyle w:val="eop"/>
                                <w:rFonts w:ascii="Calibri" w:eastAsiaTheme="majorEastAsia" w:hAnsi="Calibri" w:cs="Calibr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C4D0D4" id="Text Box 18" o:spid="_x0000_s1036" type="#_x0000_t202" style="position:absolute;margin-left:398.95pt;margin-top:44.6pt;width:450.15pt;height:110.6pt;z-index:-251790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">
                <v:textbox style="mso-fit-shape-to-text:t">
                  <w:txbxContent>
                    <w:p w14:paraId="6B71DF7B" w14:textId="15FE055E" w:rsidR="00D52BA4" w:rsidRDefault="00D52BA4" w:rsidP="00913CDA">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5: </w:t>
                      </w:r>
                      <w:r w:rsidRPr="00913CDA">
                        <w:rPr>
                          <w:rStyle w:val="normaltextrun"/>
                          <w:rFonts w:ascii="Calibri" w:hAnsi="Calibri" w:cs="Calibri"/>
                          <w:color w:val="000000"/>
                          <w:sz w:val="22"/>
                          <w:szCs w:val="22"/>
                        </w:rPr>
                        <w:t>Do you concur with the DSB’s proposal</w:t>
                      </w:r>
                      <w:r>
                        <w:rPr>
                          <w:rStyle w:val="normaltextrun"/>
                          <w:rFonts w:ascii="Calibri" w:hAnsi="Calibri" w:cs="Calibri"/>
                          <w:color w:val="000000"/>
                          <w:sz w:val="22"/>
                          <w:szCs w:val="22"/>
                        </w:rPr>
                        <w:t xml:space="preserve"> to implement a minimal set of search filters targeting non-technical users</w:t>
                      </w:r>
                      <w:r w:rsidRPr="00913CDA">
                        <w:rPr>
                          <w:rStyle w:val="normaltextrun"/>
                          <w:rFonts w:ascii="Calibri" w:hAnsi="Calibri" w:cs="Calibri"/>
                          <w:color w:val="000000"/>
                          <w:sz w:val="22"/>
                          <w:szCs w:val="22"/>
                        </w:rPr>
                        <w:t>?</w:t>
                      </w:r>
                      <w:r w:rsidRPr="00F72611">
                        <w:rPr>
                          <w:rStyle w:val="eop"/>
                          <w:rFonts w:ascii="Calibri" w:eastAsiaTheme="majorEastAsia" w:hAnsi="Calibri" w:cs="Calibri"/>
                          <w:sz w:val="22"/>
                          <w:szCs w:val="22"/>
                        </w:rPr>
                        <w:t xml:space="preserve"> </w:t>
                      </w:r>
                    </w:p>
                  </w:txbxContent>
                </v:textbox>
                <w10:wrap type="tight" anchorx="margin"/>
              </v:shape>
            </w:pict>
          </mc:Fallback>
        </mc:AlternateContent>
      </w:r>
      <w:r w:rsidR="001663C8" w:rsidRPr="00BB1525">
        <w:rPr>
          <w:rFonts w:eastAsia="Times New Roman"/>
          <w:color w:val="000000"/>
          <w:lang w:eastAsia="en-GB"/>
        </w:rPr>
        <w:t>Impact on DSB total costs</w:t>
      </w:r>
      <w:r w:rsidR="0040351E" w:rsidRPr="00A37E1C">
        <w:rPr>
          <w:rFonts w:eastAsia="Times New Roman"/>
          <w:color w:val="000000"/>
          <w:lang w:eastAsia="en-GB"/>
        </w:rPr>
        <w:t>: None in 2020; €105K in 2021-24 (</w:t>
      </w:r>
      <w:r w:rsidRPr="00A37E1C">
        <w:rPr>
          <w:rFonts w:eastAsia="Times New Roman"/>
          <w:color w:val="000000"/>
          <w:lang w:eastAsia="en-GB"/>
        </w:rPr>
        <w:t>&lt;1.2%</w:t>
      </w:r>
      <w:r w:rsidR="0040351E" w:rsidRPr="00A37E1C">
        <w:rPr>
          <w:rFonts w:eastAsia="Times New Roman"/>
          <w:color w:val="000000"/>
          <w:lang w:eastAsia="en-GB"/>
        </w:rPr>
        <w:t>); €40K from 2025 onwards (</w:t>
      </w:r>
      <w:r w:rsidRPr="00A37E1C">
        <w:rPr>
          <w:rFonts w:eastAsia="Times New Roman"/>
          <w:color w:val="000000"/>
          <w:lang w:eastAsia="en-GB"/>
        </w:rPr>
        <w:t>&lt;0.4%</w:t>
      </w:r>
      <w:r w:rsidR="0040351E" w:rsidRPr="00A37E1C">
        <w:rPr>
          <w:rFonts w:eastAsia="Times New Roman"/>
          <w:color w:val="000000"/>
          <w:lang w:eastAsia="en-GB"/>
        </w:rPr>
        <w:t>)</w:t>
      </w:r>
    </w:p>
    <w:p w14:paraId="7B0831C8" w14:textId="77777777" w:rsidR="0049655C" w:rsidRDefault="0049655C" w:rsidP="0049655C">
      <w:pPr>
        <w:spacing w:before="100" w:beforeAutospacing="1" w:after="100" w:afterAutospacing="1" w:line="276" w:lineRule="auto"/>
        <w:textAlignment w:val="baseline"/>
        <w:rPr>
          <w:rFonts w:ascii="Calibri" w:eastAsia="Times New Roman" w:hAnsi="Calibri" w:cs="Calibri"/>
          <w:color w:val="000000"/>
          <w:lang w:eastAsia="en-GB"/>
        </w:rPr>
      </w:pPr>
    </w:p>
    <w:bookmarkStart w:id="53" w:name="_Ref13057175"/>
    <w:bookmarkStart w:id="54" w:name="_Toc13087134"/>
    <w:bookmarkStart w:id="55" w:name="_Toc13157221"/>
    <w:p w14:paraId="046ACD0E" w14:textId="7CF10812" w:rsidR="0049655C" w:rsidRDefault="00716426" w:rsidP="0049655C">
      <w:pPr>
        <w:pStyle w:val="Heading3"/>
      </w:pPr>
      <w:r>
        <w:rPr>
          <w:noProof/>
          <w:lang w:eastAsia="en-GB"/>
        </w:rPr>
        <mc:AlternateContent>
          <mc:Choice Requires="wps">
            <w:drawing>
              <wp:anchor distT="45720" distB="45720" distL="114300" distR="114300" simplePos="0" relativeHeight="251533312" behindDoc="0" locked="0" layoutInCell="1" allowOverlap="1" wp14:anchorId="6204A010" wp14:editId="348E274B">
                <wp:simplePos x="0" y="0"/>
                <wp:positionH relativeFrom="margin">
                  <wp:align>right</wp:align>
                </wp:positionH>
                <wp:positionV relativeFrom="paragraph">
                  <wp:posOffset>373049</wp:posOffset>
                </wp:positionV>
                <wp:extent cx="5716905" cy="1404620"/>
                <wp:effectExtent l="0" t="0" r="17145"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697BBF4" w14:textId="13906C1F" w:rsidR="00D52BA4" w:rsidRDefault="00D52BA4" w:rsidP="0049655C">
                            <w:r>
                              <w:rPr>
                                <w:rStyle w:val="normaltextrun"/>
                                <w:rFonts w:ascii="Calibri" w:hAnsi="Calibri" w:cs="Calibri"/>
                                <w:b/>
                                <w:bCs/>
                                <w:color w:val="000000"/>
                              </w:rPr>
                              <w:t xml:space="preserve">CP1 Question: </w:t>
                            </w:r>
                            <w:r w:rsidRPr="0036242A">
                              <w:rPr>
                                <w:rStyle w:val="normaltextrun"/>
                                <w:rFonts w:ascii="Calibri" w:hAnsi="Calibri" w:cs="Calibri"/>
                                <w:bCs/>
                                <w:color w:val="000000"/>
                              </w:rPr>
                              <w:t>Do you think that the DSB service should be reviewed in order to examine any additional technical enhancements that could be made to facilitate enhanced and/or more efficient integration?</w:t>
                            </w:r>
                            <w:r>
                              <w:rPr>
                                <w:rStyle w:val="normaltextrun"/>
                                <w:rFonts w:ascii="Calibri" w:hAnsi="Calibri" w:cs="Calibri"/>
                                <w:bCs/>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04A010" id="_x0000_s1037" type="#_x0000_t202" style="position:absolute;left:0;text-align:left;margin-left:398.95pt;margin-top:29.35pt;width:450.15pt;height:110.6pt;z-index:251533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1ZJg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">
                <v:textbox style="mso-fit-shape-to-text:t">
                  <w:txbxContent>
                    <w:p w14:paraId="4697BBF4" w14:textId="13906C1F" w:rsidR="00D52BA4" w:rsidRDefault="00D52BA4" w:rsidP="0049655C">
                      <w:r>
                        <w:rPr>
                          <w:rStyle w:val="normaltextrun"/>
                          <w:rFonts w:ascii="Calibri" w:hAnsi="Calibri" w:cs="Calibri"/>
                          <w:b/>
                          <w:bCs/>
                          <w:color w:val="000000"/>
                        </w:rPr>
                        <w:t xml:space="preserve">CP1 Question: </w:t>
                      </w:r>
                      <w:r w:rsidRPr="0036242A">
                        <w:rPr>
                          <w:rStyle w:val="normaltextrun"/>
                          <w:rFonts w:ascii="Calibri" w:hAnsi="Calibri" w:cs="Calibri"/>
                          <w:bCs/>
                          <w:color w:val="000000"/>
                        </w:rPr>
                        <w:t>Do you think that the DSB service should be reviewed in order to examine any additional technical enhancements that could be made to facilitate enhanced and/or more efficient integration?</w:t>
                      </w:r>
                      <w:r>
                        <w:rPr>
                          <w:rStyle w:val="normaltextrun"/>
                          <w:rFonts w:ascii="Calibri" w:hAnsi="Calibri" w:cs="Calibri"/>
                          <w:bCs/>
                          <w:color w:val="000000"/>
                        </w:rPr>
                        <w:t xml:space="preserve"> </w:t>
                      </w:r>
                    </w:p>
                  </w:txbxContent>
                </v:textbox>
                <w10:wrap type="square" anchorx="margin"/>
              </v:shape>
            </w:pict>
          </mc:Fallback>
        </mc:AlternateContent>
      </w:r>
      <w:r w:rsidR="0049655C">
        <w:t>Q1.</w:t>
      </w:r>
      <w:r w:rsidR="0036242A">
        <w:t>6</w:t>
      </w:r>
      <w:r w:rsidR="0049655C">
        <w:t xml:space="preserve"> – </w:t>
      </w:r>
      <w:r w:rsidR="0036242A">
        <w:t>OTHER TECHNICAL ENHANCEMENTS</w:t>
      </w:r>
      <w:bookmarkEnd w:id="53"/>
      <w:bookmarkEnd w:id="54"/>
      <w:bookmarkEnd w:id="55"/>
    </w:p>
    <w:p w14:paraId="10494E42" w14:textId="4D0CBE65" w:rsidR="0049655C" w:rsidRDefault="0049655C" w:rsidP="0049655C">
      <w:pPr>
        <w:spacing w:before="100" w:beforeAutospacing="1" w:after="100" w:afterAutospacing="1" w:line="276" w:lineRule="auto"/>
        <w:textAlignment w:val="baseline"/>
        <w:rPr>
          <w:u w:val="single"/>
        </w:rPr>
      </w:pPr>
      <w:r>
        <w:rPr>
          <w:u w:val="single"/>
        </w:rPr>
        <w:t>Industry Responses</w:t>
      </w:r>
    </w:p>
    <w:p w14:paraId="547DA064" w14:textId="77777777" w:rsidR="0036242A" w:rsidRDefault="0036242A" w:rsidP="0036242A">
      <w:pPr>
        <w:spacing w:before="60" w:after="240" w:line="276" w:lineRule="auto"/>
      </w:pPr>
      <w:r>
        <w:t>The responses received to the question posed in the first consultation are set out below</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760"/>
        <w:gridCol w:w="656"/>
        <w:gridCol w:w="656"/>
      </w:tblGrid>
      <w:tr w:rsidR="0036242A" w:rsidRPr="00C15752" w14:paraId="1ADDA623" w14:textId="77777777" w:rsidTr="0036242A">
        <w:trPr>
          <w:trHeight w:val="288"/>
        </w:trPr>
        <w:tc>
          <w:tcPr>
            <w:tcW w:w="1760" w:type="dxa"/>
            <w:vMerge w:val="restart"/>
            <w:shd w:val="clear" w:color="auto" w:fill="auto"/>
            <w:noWrap/>
            <w:vAlign w:val="center"/>
            <w:hideMark/>
          </w:tcPr>
          <w:p w14:paraId="0D3D8FB5" w14:textId="77777777" w:rsidR="0036242A" w:rsidRPr="00C15752" w:rsidRDefault="0036242A" w:rsidP="009467EC">
            <w:pPr>
              <w:spacing w:after="0" w:line="276"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0DBED4EB" w14:textId="77777777" w:rsidR="0036242A" w:rsidRPr="00C15752" w:rsidRDefault="0036242A" w:rsidP="009467EC">
            <w:pPr>
              <w:spacing w:after="0" w:line="276" w:lineRule="auto"/>
              <w:jc w:val="center"/>
              <w:rPr>
                <w:rFonts w:ascii="Calibri" w:eastAsia="Times New Roman" w:hAnsi="Calibri" w:cs="Calibri"/>
                <w:b/>
                <w:bCs/>
                <w:color w:val="000000"/>
                <w:sz w:val="21"/>
                <w:szCs w:val="21"/>
                <w:lang w:eastAsia="en-GB"/>
              </w:rPr>
            </w:pPr>
            <w:r w:rsidRPr="00C15752">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6CFAFDC1" w14:textId="77777777" w:rsidR="0036242A" w:rsidRPr="00C15752" w:rsidRDefault="0036242A" w:rsidP="009467EC">
            <w:pPr>
              <w:spacing w:after="0" w:line="276" w:lineRule="auto"/>
              <w:jc w:val="center"/>
              <w:rPr>
                <w:rFonts w:ascii="Calibri" w:eastAsia="Times New Roman" w:hAnsi="Calibri" w:cs="Calibri"/>
                <w:b/>
                <w:bCs/>
                <w:color w:val="000000"/>
                <w:sz w:val="21"/>
                <w:szCs w:val="21"/>
                <w:lang w:eastAsia="en-GB"/>
              </w:rPr>
            </w:pPr>
            <w:r w:rsidRPr="00C15752">
              <w:rPr>
                <w:rFonts w:ascii="Calibri" w:eastAsia="Times New Roman" w:hAnsi="Calibri" w:cs="Calibri"/>
                <w:b/>
                <w:bCs/>
                <w:color w:val="000000"/>
                <w:sz w:val="21"/>
                <w:szCs w:val="21"/>
                <w:lang w:eastAsia="en-GB"/>
              </w:rPr>
              <w:t>No</w:t>
            </w:r>
          </w:p>
        </w:tc>
      </w:tr>
      <w:tr w:rsidR="0036242A" w:rsidRPr="00C15752" w14:paraId="3F8C0C30" w14:textId="77777777" w:rsidTr="0036242A">
        <w:trPr>
          <w:trHeight w:val="288"/>
        </w:trPr>
        <w:tc>
          <w:tcPr>
            <w:tcW w:w="1760" w:type="dxa"/>
            <w:vMerge/>
            <w:vAlign w:val="center"/>
            <w:hideMark/>
          </w:tcPr>
          <w:p w14:paraId="443B510D" w14:textId="77777777" w:rsidR="0036242A" w:rsidRPr="00C15752" w:rsidRDefault="0036242A" w:rsidP="009467EC">
            <w:pPr>
              <w:spacing w:after="0" w:line="276" w:lineRule="auto"/>
              <w:rPr>
                <w:rFonts w:ascii="Times New Roman" w:eastAsia="Times New Roman" w:hAnsi="Times New Roman" w:cs="Times New Roman"/>
                <w:sz w:val="24"/>
                <w:szCs w:val="24"/>
                <w:lang w:eastAsia="en-GB"/>
              </w:rPr>
            </w:pPr>
          </w:p>
        </w:tc>
        <w:tc>
          <w:tcPr>
            <w:tcW w:w="656" w:type="dxa"/>
            <w:shd w:val="clear" w:color="000000" w:fill="FEDF81"/>
            <w:noWrap/>
            <w:vAlign w:val="center"/>
            <w:hideMark/>
          </w:tcPr>
          <w:p w14:paraId="32A12C60" w14:textId="77777777" w:rsidR="0036242A" w:rsidRPr="00C15752" w:rsidRDefault="0036242A" w:rsidP="009467EC">
            <w:pPr>
              <w:spacing w:after="0" w:line="276" w:lineRule="auto"/>
              <w:jc w:val="center"/>
              <w:rPr>
                <w:rFonts w:ascii="Calibri" w:eastAsia="Times New Roman" w:hAnsi="Calibri" w:cs="Calibri"/>
                <w:b/>
                <w:bCs/>
                <w:color w:val="000000"/>
                <w:sz w:val="21"/>
                <w:szCs w:val="21"/>
                <w:lang w:eastAsia="en-GB"/>
              </w:rPr>
            </w:pPr>
            <w:r w:rsidRPr="00C15752">
              <w:rPr>
                <w:rFonts w:ascii="Calibri" w:eastAsia="Times New Roman" w:hAnsi="Calibri" w:cs="Calibri"/>
                <w:b/>
                <w:bCs/>
                <w:color w:val="000000"/>
                <w:sz w:val="21"/>
                <w:szCs w:val="21"/>
                <w:lang w:eastAsia="en-GB"/>
              </w:rPr>
              <w:t>5</w:t>
            </w:r>
          </w:p>
        </w:tc>
        <w:tc>
          <w:tcPr>
            <w:tcW w:w="656" w:type="dxa"/>
            <w:shd w:val="clear" w:color="000000" w:fill="E0E383"/>
            <w:noWrap/>
            <w:vAlign w:val="center"/>
            <w:hideMark/>
          </w:tcPr>
          <w:p w14:paraId="6C3031BE" w14:textId="77777777" w:rsidR="0036242A" w:rsidRPr="00C15752" w:rsidRDefault="0036242A" w:rsidP="009467EC">
            <w:pPr>
              <w:spacing w:after="0" w:line="276" w:lineRule="auto"/>
              <w:jc w:val="center"/>
              <w:rPr>
                <w:rFonts w:ascii="Calibri" w:eastAsia="Times New Roman" w:hAnsi="Calibri" w:cs="Calibri"/>
                <w:b/>
                <w:bCs/>
                <w:color w:val="000000"/>
                <w:sz w:val="21"/>
                <w:szCs w:val="21"/>
                <w:lang w:eastAsia="en-GB"/>
              </w:rPr>
            </w:pPr>
            <w:r w:rsidRPr="00C15752">
              <w:rPr>
                <w:rFonts w:ascii="Calibri" w:eastAsia="Times New Roman" w:hAnsi="Calibri" w:cs="Calibri"/>
                <w:b/>
                <w:bCs/>
                <w:color w:val="000000"/>
                <w:sz w:val="21"/>
                <w:szCs w:val="21"/>
                <w:lang w:eastAsia="en-GB"/>
              </w:rPr>
              <w:t>6</w:t>
            </w:r>
          </w:p>
        </w:tc>
      </w:tr>
      <w:tr w:rsidR="0036242A" w:rsidRPr="00C15752" w14:paraId="2642B326" w14:textId="77777777" w:rsidTr="0036242A">
        <w:trPr>
          <w:trHeight w:val="288"/>
        </w:trPr>
        <w:tc>
          <w:tcPr>
            <w:tcW w:w="1760" w:type="dxa"/>
            <w:shd w:val="clear" w:color="auto" w:fill="auto"/>
            <w:noWrap/>
            <w:vAlign w:val="center"/>
            <w:hideMark/>
          </w:tcPr>
          <w:p w14:paraId="7ABC69AC" w14:textId="77777777" w:rsidR="0036242A" w:rsidRPr="00C15752" w:rsidRDefault="0036242A" w:rsidP="009467EC">
            <w:pPr>
              <w:spacing w:after="0" w:line="276" w:lineRule="auto"/>
              <w:jc w:val="right"/>
              <w:rPr>
                <w:rFonts w:ascii="Calibri" w:eastAsia="Times New Roman" w:hAnsi="Calibri" w:cs="Calibri"/>
                <w:color w:val="000000"/>
                <w:sz w:val="21"/>
                <w:szCs w:val="21"/>
                <w:lang w:eastAsia="en-GB"/>
              </w:rPr>
            </w:pPr>
            <w:r w:rsidRPr="00C15752">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292EDC54" w14:textId="77777777" w:rsidR="0036242A" w:rsidRPr="00C15752" w:rsidRDefault="0036242A" w:rsidP="009467EC">
            <w:pPr>
              <w:spacing w:after="0" w:line="276" w:lineRule="auto"/>
              <w:jc w:val="center"/>
              <w:rPr>
                <w:rFonts w:ascii="Calibri" w:eastAsia="Times New Roman" w:hAnsi="Calibri" w:cs="Calibri"/>
                <w:color w:val="FFFFFF"/>
                <w:sz w:val="21"/>
                <w:szCs w:val="21"/>
                <w:lang w:eastAsia="en-GB"/>
              </w:rPr>
            </w:pPr>
            <w:r w:rsidRPr="00661CA1">
              <w:rPr>
                <w:rFonts w:ascii="Calibri" w:eastAsia="Times New Roman" w:hAnsi="Calibri" w:cs="Calibri"/>
                <w:color w:val="FFFFFF" w:themeColor="background1"/>
                <w:sz w:val="21"/>
                <w:szCs w:val="21"/>
                <w:lang w:eastAsia="en-GB"/>
              </w:rPr>
              <w:t>0</w:t>
            </w:r>
          </w:p>
        </w:tc>
        <w:tc>
          <w:tcPr>
            <w:tcW w:w="656" w:type="dxa"/>
            <w:shd w:val="clear" w:color="auto" w:fill="auto"/>
            <w:noWrap/>
            <w:vAlign w:val="center"/>
            <w:hideMark/>
          </w:tcPr>
          <w:p w14:paraId="05C74B46" w14:textId="77777777" w:rsidR="0036242A" w:rsidRPr="00C15752" w:rsidRDefault="0036242A" w:rsidP="009467EC">
            <w:pPr>
              <w:spacing w:after="0" w:line="276" w:lineRule="auto"/>
              <w:jc w:val="center"/>
              <w:rPr>
                <w:rFonts w:ascii="Calibri" w:eastAsia="Times New Roman" w:hAnsi="Calibri" w:cs="Calibri"/>
                <w:color w:val="000000"/>
                <w:sz w:val="21"/>
                <w:szCs w:val="21"/>
                <w:lang w:eastAsia="en-GB"/>
              </w:rPr>
            </w:pPr>
            <w:r w:rsidRPr="00C15752">
              <w:rPr>
                <w:rFonts w:ascii="Calibri" w:eastAsia="Times New Roman" w:hAnsi="Calibri" w:cs="Calibri"/>
                <w:color w:val="000000"/>
                <w:sz w:val="21"/>
                <w:szCs w:val="21"/>
                <w:lang w:eastAsia="en-GB"/>
              </w:rPr>
              <w:t>1</w:t>
            </w:r>
          </w:p>
        </w:tc>
      </w:tr>
      <w:tr w:rsidR="0036242A" w:rsidRPr="00C15752" w14:paraId="6EB358B7" w14:textId="77777777" w:rsidTr="0036242A">
        <w:trPr>
          <w:trHeight w:val="288"/>
        </w:trPr>
        <w:tc>
          <w:tcPr>
            <w:tcW w:w="1760" w:type="dxa"/>
            <w:shd w:val="clear" w:color="auto" w:fill="auto"/>
            <w:noWrap/>
            <w:vAlign w:val="center"/>
            <w:hideMark/>
          </w:tcPr>
          <w:p w14:paraId="67DF81DC" w14:textId="77777777" w:rsidR="0036242A" w:rsidRPr="00C15752" w:rsidRDefault="0036242A" w:rsidP="009467EC">
            <w:pPr>
              <w:spacing w:after="0" w:line="276" w:lineRule="auto"/>
              <w:jc w:val="right"/>
              <w:rPr>
                <w:rFonts w:ascii="Calibri" w:eastAsia="Times New Roman" w:hAnsi="Calibri" w:cs="Calibri"/>
                <w:color w:val="000000"/>
                <w:sz w:val="21"/>
                <w:szCs w:val="21"/>
                <w:lang w:eastAsia="en-GB"/>
              </w:rPr>
            </w:pPr>
            <w:r w:rsidRPr="00C15752">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0485B296" w14:textId="77777777" w:rsidR="0036242A" w:rsidRPr="00C15752" w:rsidRDefault="0036242A" w:rsidP="009467EC">
            <w:pPr>
              <w:spacing w:after="0" w:line="276" w:lineRule="auto"/>
              <w:jc w:val="center"/>
              <w:rPr>
                <w:rFonts w:ascii="Calibri" w:eastAsia="Times New Roman" w:hAnsi="Calibri" w:cs="Calibri"/>
                <w:color w:val="000000"/>
                <w:sz w:val="21"/>
                <w:szCs w:val="21"/>
                <w:lang w:eastAsia="en-GB"/>
              </w:rPr>
            </w:pPr>
            <w:r w:rsidRPr="00C15752">
              <w:rPr>
                <w:rFonts w:ascii="Calibri" w:eastAsia="Times New Roman" w:hAnsi="Calibri" w:cs="Calibri"/>
                <w:color w:val="000000"/>
                <w:sz w:val="21"/>
                <w:szCs w:val="21"/>
                <w:lang w:eastAsia="en-GB"/>
              </w:rPr>
              <w:t>5</w:t>
            </w:r>
          </w:p>
        </w:tc>
        <w:tc>
          <w:tcPr>
            <w:tcW w:w="656" w:type="dxa"/>
            <w:shd w:val="clear" w:color="auto" w:fill="auto"/>
            <w:noWrap/>
            <w:vAlign w:val="center"/>
            <w:hideMark/>
          </w:tcPr>
          <w:p w14:paraId="1820D9EB" w14:textId="77777777" w:rsidR="0036242A" w:rsidRPr="00C15752" w:rsidRDefault="0036242A" w:rsidP="009467EC">
            <w:pPr>
              <w:spacing w:after="0" w:line="276" w:lineRule="auto"/>
              <w:jc w:val="center"/>
              <w:rPr>
                <w:rFonts w:ascii="Calibri" w:eastAsia="Times New Roman" w:hAnsi="Calibri" w:cs="Calibri"/>
                <w:color w:val="000000"/>
                <w:sz w:val="21"/>
                <w:szCs w:val="21"/>
                <w:lang w:eastAsia="en-GB"/>
              </w:rPr>
            </w:pPr>
            <w:r w:rsidRPr="00C15752">
              <w:rPr>
                <w:rFonts w:ascii="Calibri" w:eastAsia="Times New Roman" w:hAnsi="Calibri" w:cs="Calibri"/>
                <w:color w:val="000000"/>
                <w:sz w:val="21"/>
                <w:szCs w:val="21"/>
                <w:lang w:eastAsia="en-GB"/>
              </w:rPr>
              <w:t>5</w:t>
            </w:r>
          </w:p>
        </w:tc>
      </w:tr>
    </w:tbl>
    <w:p w14:paraId="4737D987" w14:textId="125B4A22" w:rsidR="0036242A" w:rsidRDefault="0036242A" w:rsidP="0036242A">
      <w:pPr>
        <w:spacing w:before="240" w:after="60" w:line="276" w:lineRule="auto"/>
      </w:pPr>
      <w:r>
        <w:t xml:space="preserve">There was a mixed response to this question, with a slight majority not seeing any need for a substantial review of the DSB service to identify potential technical enhancements, with stability of the service stated as a primary factor where responses were provided.  </w:t>
      </w:r>
    </w:p>
    <w:p w14:paraId="44A0E29D" w14:textId="77777777" w:rsidR="0036242A" w:rsidRDefault="0036242A" w:rsidP="0036242A">
      <w:pPr>
        <w:spacing w:before="60" w:after="60" w:line="276" w:lineRule="auto"/>
      </w:pPr>
      <w:r>
        <w:t xml:space="preserve">One respondent requested that the DSB should be able to process and auto-normalize attributes submitted at the time of ISIN creation such that if User 1 submitted an FX Forward with GBP and USD as the currency pair and User 2 submitted an FX Forward with USD followed by GBP as the two currencies, the DSB should be able to normalize the input and create a single ISIN and/or CFI code </w:t>
      </w:r>
      <w:r w:rsidRPr="0019721E">
        <w:t>irrespective of order in which</w:t>
      </w:r>
      <w:r>
        <w:t xml:space="preserve"> the two currencies in an FX Forward may be </w:t>
      </w:r>
      <w:r w:rsidRPr="0019721E">
        <w:t>received</w:t>
      </w:r>
      <w:r>
        <w:t>.</w:t>
      </w:r>
    </w:p>
    <w:p w14:paraId="25C7E9ED" w14:textId="77777777" w:rsidR="0036242A" w:rsidRDefault="0036242A" w:rsidP="0036242A">
      <w:pPr>
        <w:spacing w:before="60" w:after="60" w:line="276" w:lineRule="auto"/>
      </w:pPr>
      <w:r>
        <w:t>Other users specifically r</w:t>
      </w:r>
      <w:r w:rsidRPr="0019721E">
        <w:t>equest</w:t>
      </w:r>
      <w:r>
        <w:t>ed:</w:t>
      </w:r>
    </w:p>
    <w:p w14:paraId="0165F95A" w14:textId="77777777" w:rsidR="0036242A" w:rsidRDefault="0036242A" w:rsidP="0036242A">
      <w:pPr>
        <w:pStyle w:val="ListParagraph"/>
        <w:numPr>
          <w:ilvl w:val="0"/>
          <w:numId w:val="6"/>
        </w:numPr>
        <w:spacing w:before="60" w:after="60" w:line="276" w:lineRule="auto"/>
      </w:pPr>
      <w:r w:rsidRPr="00D70BE5">
        <w:t>enhancements to cater for the introduction of a transition period to reduce impact of non-backwardly compatible changes where possible</w:t>
      </w:r>
    </w:p>
    <w:p w14:paraId="401B936A" w14:textId="77777777" w:rsidR="0036242A" w:rsidRDefault="0036242A" w:rsidP="0036242A">
      <w:pPr>
        <w:pStyle w:val="ListParagraph"/>
        <w:numPr>
          <w:ilvl w:val="0"/>
          <w:numId w:val="6"/>
        </w:numPr>
        <w:spacing w:before="60" w:after="60" w:line="276" w:lineRule="auto"/>
      </w:pPr>
      <w:r w:rsidRPr="00D70BE5">
        <w:t xml:space="preserve">the removal of enumerations from core code (work in progress, with core PC feedback already submitted to the TAC and an extended UAT period to commence in Q4 2019) </w:t>
      </w:r>
    </w:p>
    <w:p w14:paraId="7CF3194E" w14:textId="77777777" w:rsidR="0036242A" w:rsidRPr="00D70BE5" w:rsidRDefault="0036242A" w:rsidP="0036242A">
      <w:pPr>
        <w:pStyle w:val="ListParagraph"/>
        <w:numPr>
          <w:ilvl w:val="0"/>
          <w:numId w:val="6"/>
        </w:numPr>
        <w:spacing w:before="60" w:after="60" w:line="276" w:lineRule="auto"/>
      </w:pPr>
      <w:r w:rsidRPr="00D70BE5">
        <w:t>consistent tracking of schema versions when new templates were released</w:t>
      </w:r>
    </w:p>
    <w:p w14:paraId="6EEFD562" w14:textId="77777777" w:rsidR="0036242A" w:rsidRDefault="0036242A" w:rsidP="0036242A">
      <w:pPr>
        <w:spacing w:after="60" w:line="276" w:lineRule="auto"/>
        <w:rPr>
          <w:b/>
          <w:bCs/>
          <w:u w:val="single"/>
        </w:rPr>
      </w:pPr>
    </w:p>
    <w:p w14:paraId="674BE7FB" w14:textId="5337ADD4" w:rsidR="0049655C" w:rsidRDefault="0049655C" w:rsidP="0058497E">
      <w:pPr>
        <w:spacing w:before="240"/>
        <w:rPr>
          <w:u w:val="single"/>
        </w:rPr>
      </w:pPr>
      <w:r>
        <w:rPr>
          <w:u w:val="single"/>
        </w:rPr>
        <w:lastRenderedPageBreak/>
        <w:t>Analysis of Responses</w:t>
      </w:r>
    </w:p>
    <w:p w14:paraId="1A146FB1" w14:textId="2FE36DFA" w:rsidR="0036242A" w:rsidRDefault="0056639B" w:rsidP="0049655C">
      <w:r>
        <w:t xml:space="preserve">With respect </w:t>
      </w:r>
      <w:r w:rsidR="00A37E1C">
        <w:t>to</w:t>
      </w:r>
      <w:r>
        <w:t xml:space="preserve"> </w:t>
      </w:r>
      <w:r w:rsidR="0036242A">
        <w:t xml:space="preserve">the </w:t>
      </w:r>
      <w:r>
        <w:t>request for</w:t>
      </w:r>
      <w:r w:rsidR="0036242A">
        <w:t xml:space="preserve"> auto-normalization of attributes, the DSB is pleased to confirm that it currently follows this process, thus ensuring that duplicate ISINs are not produced due to normalization errors when two currencies are submitted to create an OTC ISIN. The user response suggests that there may be benefits in wider communication of existing DSB functionality and the DSB will work with the PC to determine the optimal means of communicating such information to users.</w:t>
      </w:r>
    </w:p>
    <w:p w14:paraId="28498D95" w14:textId="5B4CCCC3" w:rsidR="0036242A" w:rsidRPr="0036242A" w:rsidRDefault="0036242A" w:rsidP="0049655C">
      <w:r w:rsidRPr="0036242A">
        <w:t>On the m</w:t>
      </w:r>
      <w:r>
        <w:t>atter of the 3 specific user requests received as part of this consultation, listed above, the DSB believes there may be a case for reviewing each scenario in more detail.</w:t>
      </w:r>
    </w:p>
    <w:p w14:paraId="660F7640" w14:textId="77777777" w:rsidR="0049655C" w:rsidRDefault="0049655C" w:rsidP="0058497E">
      <w:pPr>
        <w:spacing w:before="240"/>
        <w:rPr>
          <w:u w:val="single"/>
        </w:rPr>
      </w:pPr>
      <w:r>
        <w:rPr>
          <w:u w:val="single"/>
        </w:rPr>
        <w:t>DSB Proposed Next Steps</w:t>
      </w:r>
    </w:p>
    <w:p w14:paraId="732287B3" w14:textId="3378F67B" w:rsidR="0036242A" w:rsidRDefault="0036242A" w:rsidP="0036242A">
      <w:pPr>
        <w:spacing w:after="60" w:line="276" w:lineRule="auto"/>
      </w:pPr>
      <w:r>
        <w:t xml:space="preserve">The DSB proposes to work with the TAC utilising existing TAC secretariat resources to determine how best to progress the three specific examples listed above. There is no cost impact given the use of existing resources, with the corollary that the investigation is subject to TAC prioritization. </w:t>
      </w:r>
    </w:p>
    <w:p w14:paraId="3F1BBCD1" w14:textId="42948BD9" w:rsidR="00E21286" w:rsidRDefault="00EE0DE0">
      <w:r w:rsidRPr="00BB1525">
        <w:rPr>
          <w:noProof/>
          <w:lang w:eastAsia="en-GB"/>
        </w:rPr>
        <mc:AlternateContent>
          <mc:Choice Requires="wps">
            <w:drawing>
              <wp:anchor distT="45720" distB="45720" distL="114300" distR="114300" simplePos="0" relativeHeight="251540480" behindDoc="1" locked="0" layoutInCell="1" allowOverlap="1" wp14:anchorId="74B9C518" wp14:editId="4C864814">
                <wp:simplePos x="0" y="0"/>
                <wp:positionH relativeFrom="margin">
                  <wp:posOffset>-2540</wp:posOffset>
                </wp:positionH>
                <wp:positionV relativeFrom="paragraph">
                  <wp:posOffset>369508</wp:posOffset>
                </wp:positionV>
                <wp:extent cx="5716905" cy="1404620"/>
                <wp:effectExtent l="0" t="0" r="17145" b="27305"/>
                <wp:wrapTight wrapText="bothSides">
                  <wp:wrapPolygon edited="0">
                    <wp:start x="0" y="0"/>
                    <wp:lineTo x="0" y="21940"/>
                    <wp:lineTo x="21593" y="21940"/>
                    <wp:lineTo x="21593"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8EE5622" w14:textId="4D2093F5" w:rsidR="00D52BA4" w:rsidRDefault="00D52BA4" w:rsidP="0049655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6</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71642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existing TAC resources to address the identified concerns as part of the DSB’s business as usual resourcing</w:t>
                            </w:r>
                            <w:r w:rsidRPr="00716426">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B9C518" id="Text Box 20" o:spid="_x0000_s1038" type="#_x0000_t202" style="position:absolute;margin-left:-.2pt;margin-top:29.1pt;width:450.1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">
                <v:textbox style="mso-fit-shape-to-text:t">
                  <w:txbxContent>
                    <w:p w14:paraId="48EE5622" w14:textId="4D2093F5" w:rsidR="00D52BA4" w:rsidRDefault="00D52BA4" w:rsidP="0049655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6</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71642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utilise existing TAC resources to address the identified concerns as part of the DSB’s business as usual resourcing</w:t>
                      </w:r>
                      <w:r w:rsidRPr="00716426">
                        <w:rPr>
                          <w:rStyle w:val="eop"/>
                          <w:rFonts w:ascii="Calibri" w:eastAsiaTheme="majorEastAsia" w:hAnsi="Calibri" w:cs="Calibri"/>
                          <w:sz w:val="22"/>
                          <w:szCs w:val="22"/>
                        </w:rPr>
                        <w:t>?</w:t>
                      </w:r>
                    </w:p>
                  </w:txbxContent>
                </v:textbox>
                <w10:wrap type="tight" anchorx="margin"/>
              </v:shape>
            </w:pict>
          </mc:Fallback>
        </mc:AlternateContent>
      </w:r>
      <w:r w:rsidR="00E21286">
        <w:br w:type="page"/>
      </w:r>
    </w:p>
    <w:p w14:paraId="56DF5C41" w14:textId="77777777" w:rsidR="005B7CFB" w:rsidRDefault="005B7CFB" w:rsidP="005B7CFB"/>
    <w:p w14:paraId="262761D0" w14:textId="0B11201A" w:rsidR="005B7CFB" w:rsidRDefault="00D2531D" w:rsidP="005B7CFB">
      <w:pPr>
        <w:pStyle w:val="Heading2"/>
        <w:spacing w:after="240"/>
      </w:pPr>
      <w:bookmarkStart w:id="56" w:name="_Toc13087135"/>
      <w:bookmarkStart w:id="57" w:name="_Toc13157222"/>
      <w:r>
        <w:t>DATA SUBMISSION ENHANCEMENTS</w:t>
      </w:r>
      <w:bookmarkEnd w:id="56"/>
      <w:bookmarkEnd w:id="57"/>
    </w:p>
    <w:p w14:paraId="4FE031C4" w14:textId="0DDC814D" w:rsidR="005B7CFB" w:rsidRDefault="005B7CFB" w:rsidP="005B7CFB">
      <w:r>
        <w:t xml:space="preserve">The DSB consulted on </w:t>
      </w:r>
      <w:r w:rsidR="00C03305">
        <w:t>9</w:t>
      </w:r>
      <w:r w:rsidR="00DF7096">
        <w:t xml:space="preserve"> </w:t>
      </w:r>
      <w:r>
        <w:t xml:space="preserve">proposed enhancements to </w:t>
      </w:r>
      <w:r w:rsidR="00763325">
        <w:t>enhance the submission of data to the DSB</w:t>
      </w:r>
      <w:r>
        <w:t>, based on user feedback received in the past 12 months. The responses are summarised below, together with the DSB’s analysis of the responses and proposed next steps.</w:t>
      </w:r>
    </w:p>
    <w:tbl>
      <w:tblPr>
        <w:tblStyle w:val="GridTable5Dark-Accent1"/>
        <w:tblW w:w="8926" w:type="dxa"/>
        <w:tblLook w:val="04A0" w:firstRow="1" w:lastRow="0" w:firstColumn="1" w:lastColumn="0" w:noHBand="0" w:noVBand="1"/>
      </w:tblPr>
      <w:tblGrid>
        <w:gridCol w:w="1121"/>
        <w:gridCol w:w="2843"/>
        <w:gridCol w:w="1701"/>
        <w:gridCol w:w="3261"/>
      </w:tblGrid>
      <w:tr w:rsidR="00DA7FD4" w:rsidRPr="00FB53D1" w14:paraId="74F58B69" w14:textId="77777777" w:rsidTr="004326DA">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14:paraId="20975039" w14:textId="3EF54316" w:rsidR="008B50B2" w:rsidRPr="00FB53D1" w:rsidRDefault="008B50B2">
            <w:pPr>
              <w:spacing w:before="120" w:line="276" w:lineRule="auto"/>
              <w:rPr>
                <w:rFonts w:cstheme="minorHAnsi"/>
              </w:rPr>
            </w:pPr>
            <w:r w:rsidRPr="00FB53D1">
              <w:rPr>
                <w:rFonts w:cstheme="minorHAnsi"/>
              </w:rPr>
              <w:t>DATA SUBMISSION ENHANCEMENTS</w:t>
            </w:r>
          </w:p>
        </w:tc>
        <w:tc>
          <w:tcPr>
            <w:tcW w:w="1701" w:type="dxa"/>
            <w:vAlign w:val="center"/>
          </w:tcPr>
          <w:p w14:paraId="67ED6928" w14:textId="62B07758" w:rsidR="008B50B2" w:rsidRPr="00FB53D1" w:rsidRDefault="008B50B2">
            <w:pPr>
              <w:spacing w:before="12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FB53D1">
              <w:rPr>
                <w:rFonts w:cstheme="minorHAnsi"/>
              </w:rPr>
              <w:t>NEXT STEPS</w:t>
            </w:r>
          </w:p>
        </w:tc>
        <w:tc>
          <w:tcPr>
            <w:tcW w:w="3261" w:type="dxa"/>
            <w:vAlign w:val="center"/>
          </w:tcPr>
          <w:p w14:paraId="19E80431" w14:textId="0B78A594" w:rsidR="008B50B2" w:rsidRPr="00FB53D1" w:rsidRDefault="008B50B2" w:rsidP="0058497E">
            <w:pPr>
              <w:spacing w:before="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FB53D1">
              <w:rPr>
                <w:rFonts w:eastAsia="Times New Roman" w:cstheme="minorHAnsi"/>
                <w:lang w:eastAsia="en-GB"/>
              </w:rPr>
              <w:t>COST IMPACT</w:t>
            </w:r>
          </w:p>
        </w:tc>
      </w:tr>
      <w:tr w:rsidR="00DA7FD4" w:rsidRPr="00FB53D1" w14:paraId="6FB2A259"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4BCCA9EA" w14:textId="5200789F" w:rsidR="00CB60B6" w:rsidRPr="00B81F55" w:rsidRDefault="00ED704D"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_Ref13057566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5.2.1</w:t>
            </w:r>
            <w:r w:rsidRPr="00B81F55">
              <w:rPr>
                <w:rFonts w:cstheme="minorHAnsi"/>
              </w:rPr>
              <w:fldChar w:fldCharType="end"/>
            </w:r>
          </w:p>
        </w:tc>
        <w:tc>
          <w:tcPr>
            <w:tcW w:w="2843" w:type="dxa"/>
            <w:shd w:val="clear" w:color="auto" w:fill="auto"/>
            <w:vAlign w:val="center"/>
          </w:tcPr>
          <w:p w14:paraId="423E4502" w14:textId="02A695C7" w:rsidR="00CB60B6" w:rsidRPr="00B81F55" w:rsidRDefault="00CB60B6" w:rsidP="0058497E">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B81F55">
              <w:rPr>
                <w:rFonts w:cstheme="minorHAnsi"/>
              </w:rPr>
              <w:t>Tool for Proprietary Index Submissions</w:t>
            </w:r>
          </w:p>
        </w:tc>
        <w:tc>
          <w:tcPr>
            <w:tcW w:w="1701" w:type="dxa"/>
            <w:shd w:val="clear" w:color="auto" w:fill="auto"/>
            <w:vAlign w:val="center"/>
          </w:tcPr>
          <w:p w14:paraId="69EA46D9" w14:textId="1C02CCAD" w:rsidR="00CB60B6" w:rsidRPr="00B81F55" w:rsidRDefault="00CB60B6" w:rsidP="0058497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cstheme="minorHAnsi"/>
              </w:rPr>
              <w:t>None</w:t>
            </w:r>
          </w:p>
        </w:tc>
        <w:tc>
          <w:tcPr>
            <w:tcW w:w="3261" w:type="dxa"/>
            <w:shd w:val="clear" w:color="auto" w:fill="auto"/>
            <w:vAlign w:val="center"/>
          </w:tcPr>
          <w:p w14:paraId="1C7C82CD" w14:textId="72384E09" w:rsidR="00CB60B6" w:rsidRPr="00B81F55" w:rsidRDefault="00CB60B6" w:rsidP="0058497E">
            <w:pPr>
              <w:pStyle w:val="ListParagraph"/>
              <w:numPr>
                <w:ilvl w:val="0"/>
                <w:numId w:val="46"/>
              </w:numPr>
              <w:spacing w:before="120"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005B1723"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50370127"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61760A76" w14:textId="77203A0F" w:rsidR="00CB60B6" w:rsidRPr="00B81F55" w:rsidRDefault="00516EF3"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_Ref13069896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5.2.2</w:t>
            </w:r>
            <w:r w:rsidRPr="00B81F55">
              <w:rPr>
                <w:rFonts w:cstheme="minorHAnsi"/>
              </w:rPr>
              <w:fldChar w:fldCharType="end"/>
            </w:r>
          </w:p>
        </w:tc>
        <w:tc>
          <w:tcPr>
            <w:tcW w:w="2843" w:type="dxa"/>
            <w:vAlign w:val="center"/>
          </w:tcPr>
          <w:p w14:paraId="330B3328" w14:textId="71CD0642" w:rsidR="00CB60B6" w:rsidRPr="00B81F55" w:rsidRDefault="00CB60B6" w:rsidP="0058497E">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B81F55">
              <w:rPr>
                <w:rFonts w:cstheme="minorHAnsi"/>
              </w:rPr>
              <w:t>SLA for Proprietary Index Submissions</w:t>
            </w:r>
          </w:p>
        </w:tc>
        <w:tc>
          <w:tcPr>
            <w:tcW w:w="1701" w:type="dxa"/>
            <w:vAlign w:val="center"/>
          </w:tcPr>
          <w:p w14:paraId="4FB66510" w14:textId="743D5268" w:rsidR="00CB60B6" w:rsidRPr="00B81F55" w:rsidRDefault="00CB60B6" w:rsidP="0058497E">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81F55">
              <w:rPr>
                <w:rFonts w:cstheme="minorHAnsi"/>
              </w:rPr>
              <w:t>None</w:t>
            </w:r>
          </w:p>
        </w:tc>
        <w:tc>
          <w:tcPr>
            <w:tcW w:w="3261" w:type="dxa"/>
            <w:vAlign w:val="center"/>
          </w:tcPr>
          <w:p w14:paraId="2350075B" w14:textId="21595DC0" w:rsidR="00CB60B6" w:rsidRPr="00B81F55" w:rsidRDefault="00CB60B6" w:rsidP="0058497E">
            <w:pPr>
              <w:pStyle w:val="ListParagraph"/>
              <w:numPr>
                <w:ilvl w:val="0"/>
                <w:numId w:val="46"/>
              </w:numPr>
              <w:spacing w:before="120"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005B1723"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6CA39442"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3513013F" w14:textId="2A604A89" w:rsidR="00CB60B6" w:rsidRPr="00B81F55" w:rsidRDefault="008D3CEB" w:rsidP="00516EF3">
            <w:pPr>
              <w:spacing w:before="120" w:line="276" w:lineRule="auto"/>
              <w:rPr>
                <w:rFonts w:cstheme="minorHAnsi"/>
              </w:rPr>
            </w:pPr>
            <w:r w:rsidRPr="00FB53D1">
              <w:rPr>
                <w:rFonts w:cstheme="minorHAnsi"/>
              </w:rPr>
              <w:fldChar w:fldCharType="begin"/>
            </w:r>
            <w:r w:rsidRPr="00B81F55">
              <w:rPr>
                <w:rFonts w:cstheme="minorHAnsi"/>
              </w:rPr>
              <w:instrText xml:space="preserve"> REF _Ref13072060 \r \h </w:instrText>
            </w:r>
            <w:r w:rsidR="004C60BD" w:rsidRPr="00B81F55">
              <w:rPr>
                <w:rFonts w:cstheme="minorHAnsi"/>
              </w:rPr>
              <w:instrText xml:space="preserve"> \* MERGEFORMAT </w:instrText>
            </w:r>
            <w:r w:rsidRPr="00FB53D1">
              <w:rPr>
                <w:rFonts w:cstheme="minorHAnsi"/>
              </w:rPr>
            </w:r>
            <w:r w:rsidRPr="00FB53D1">
              <w:rPr>
                <w:rFonts w:cstheme="minorHAnsi"/>
              </w:rPr>
              <w:fldChar w:fldCharType="separate"/>
            </w:r>
            <w:r w:rsidRPr="00B81F55">
              <w:rPr>
                <w:rFonts w:cstheme="minorHAnsi"/>
              </w:rPr>
              <w:t>5.2.3</w:t>
            </w:r>
            <w:r w:rsidRPr="00FB53D1">
              <w:rPr>
                <w:rFonts w:cstheme="minorHAnsi"/>
              </w:rPr>
              <w:fldChar w:fldCharType="end"/>
            </w:r>
          </w:p>
        </w:tc>
        <w:tc>
          <w:tcPr>
            <w:tcW w:w="2843" w:type="dxa"/>
            <w:shd w:val="clear" w:color="auto" w:fill="auto"/>
            <w:vAlign w:val="center"/>
          </w:tcPr>
          <w:p w14:paraId="69341FDD" w14:textId="4BE5419D" w:rsidR="00CB60B6" w:rsidRPr="00B81F55" w:rsidRDefault="00CB60B6" w:rsidP="0058497E">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B81F55">
              <w:rPr>
                <w:rFonts w:cstheme="minorHAnsi"/>
              </w:rPr>
              <w:t>Automated User Submission Process</w:t>
            </w:r>
          </w:p>
        </w:tc>
        <w:tc>
          <w:tcPr>
            <w:tcW w:w="1701" w:type="dxa"/>
            <w:shd w:val="clear" w:color="auto" w:fill="auto"/>
            <w:vAlign w:val="center"/>
          </w:tcPr>
          <w:p w14:paraId="0FB7544E" w14:textId="2A13F70D" w:rsidR="00CB60B6" w:rsidRPr="00B81F55" w:rsidRDefault="00F342B5" w:rsidP="0058497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cstheme="minorHAnsi"/>
              </w:rPr>
              <w:t>Further Consultation</w:t>
            </w:r>
          </w:p>
        </w:tc>
        <w:tc>
          <w:tcPr>
            <w:tcW w:w="3261" w:type="dxa"/>
            <w:shd w:val="clear" w:color="auto" w:fill="auto"/>
            <w:vAlign w:val="center"/>
          </w:tcPr>
          <w:p w14:paraId="0729E0D9" w14:textId="7779EF5E" w:rsidR="00CB60B6" w:rsidRPr="00B81F55" w:rsidRDefault="00CB60B6" w:rsidP="0058497E">
            <w:pPr>
              <w:pStyle w:val="ListParagraph"/>
              <w:numPr>
                <w:ilvl w:val="0"/>
                <w:numId w:val="46"/>
              </w:numPr>
              <w:spacing w:before="120"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eastAsia="Times New Roman" w:cstheme="minorHAnsi"/>
                <w:color w:val="000000"/>
                <w:lang w:eastAsia="en-GB"/>
              </w:rPr>
              <w:t>2020</w:t>
            </w:r>
            <w:r w:rsidR="005B1723"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579E0244"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6F408E2D" w14:textId="4B1831A0" w:rsidR="00CB60B6" w:rsidRPr="00B81F55" w:rsidRDefault="008715F1"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_Ref13073192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5.2.4</w:t>
            </w:r>
            <w:r w:rsidRPr="00B81F55">
              <w:rPr>
                <w:rFonts w:cstheme="minorHAnsi"/>
              </w:rPr>
              <w:fldChar w:fldCharType="end"/>
            </w:r>
          </w:p>
        </w:tc>
        <w:tc>
          <w:tcPr>
            <w:tcW w:w="2843" w:type="dxa"/>
            <w:vAlign w:val="center"/>
          </w:tcPr>
          <w:p w14:paraId="5A7BA75A" w14:textId="09ED4A1A" w:rsidR="00CB60B6" w:rsidRPr="00B81F55" w:rsidRDefault="00CB60B6" w:rsidP="0058497E">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B81F55">
              <w:rPr>
                <w:rFonts w:cstheme="minorHAnsi"/>
              </w:rPr>
              <w:t>Machine-Readable Format for Proprietary Indices</w:t>
            </w:r>
          </w:p>
        </w:tc>
        <w:tc>
          <w:tcPr>
            <w:tcW w:w="1701" w:type="dxa"/>
            <w:vAlign w:val="center"/>
          </w:tcPr>
          <w:p w14:paraId="54D01FCE" w14:textId="7BBEB18A" w:rsidR="00CB60B6" w:rsidRPr="00B81F55" w:rsidRDefault="00F342B5" w:rsidP="0058497E">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81F55">
              <w:rPr>
                <w:rFonts w:cstheme="minorHAnsi"/>
              </w:rPr>
              <w:t>Further Consultation</w:t>
            </w:r>
            <w:r w:rsidRPr="00B81F55" w:rsidDel="00D54CA1">
              <w:rPr>
                <w:rFonts w:cstheme="minorHAnsi"/>
              </w:rPr>
              <w:t xml:space="preserve"> </w:t>
            </w:r>
          </w:p>
        </w:tc>
        <w:tc>
          <w:tcPr>
            <w:tcW w:w="3261" w:type="dxa"/>
            <w:vAlign w:val="center"/>
          </w:tcPr>
          <w:p w14:paraId="4F610231" w14:textId="2A6670EA" w:rsidR="00CB60B6" w:rsidRPr="00B81F55" w:rsidRDefault="00CB60B6" w:rsidP="0058497E">
            <w:pPr>
              <w:pStyle w:val="ListParagraph"/>
              <w:numPr>
                <w:ilvl w:val="0"/>
                <w:numId w:val="46"/>
              </w:numPr>
              <w:spacing w:before="120"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B81F55">
              <w:rPr>
                <w:rFonts w:eastAsia="Times New Roman" w:cstheme="minorHAnsi"/>
                <w:color w:val="000000"/>
                <w:lang w:eastAsia="en-GB"/>
              </w:rPr>
              <w:t>2020</w:t>
            </w:r>
            <w:r w:rsidR="005B1723"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31804401"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6EAC3D17" w14:textId="7A34A861" w:rsidR="00CB60B6" w:rsidRPr="00B81F55" w:rsidRDefault="006A6E6D"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_Ref13073702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5.2.5</w:t>
            </w:r>
            <w:r w:rsidRPr="00B81F55">
              <w:rPr>
                <w:rFonts w:cstheme="minorHAnsi"/>
              </w:rPr>
              <w:fldChar w:fldCharType="end"/>
            </w:r>
          </w:p>
        </w:tc>
        <w:tc>
          <w:tcPr>
            <w:tcW w:w="2843" w:type="dxa"/>
            <w:shd w:val="clear" w:color="auto" w:fill="auto"/>
            <w:vAlign w:val="center"/>
          </w:tcPr>
          <w:p w14:paraId="5D8F425F" w14:textId="129B6632" w:rsidR="00CB60B6" w:rsidRPr="00B81F55" w:rsidRDefault="00CB60B6" w:rsidP="0058497E">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B81F55">
              <w:rPr>
                <w:rFonts w:cstheme="minorHAnsi"/>
              </w:rPr>
              <w:t>LEI for CDS Single Name</w:t>
            </w:r>
          </w:p>
        </w:tc>
        <w:tc>
          <w:tcPr>
            <w:tcW w:w="1701" w:type="dxa"/>
            <w:shd w:val="clear" w:color="auto" w:fill="auto"/>
            <w:vAlign w:val="center"/>
          </w:tcPr>
          <w:p w14:paraId="5BF228B3" w14:textId="61CED95B" w:rsidR="00CB60B6" w:rsidRPr="00B81F55" w:rsidRDefault="00CB60B6" w:rsidP="0058497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cstheme="minorHAnsi"/>
              </w:rPr>
              <w:t>Further Consultation</w:t>
            </w:r>
          </w:p>
        </w:tc>
        <w:tc>
          <w:tcPr>
            <w:tcW w:w="3261" w:type="dxa"/>
            <w:shd w:val="clear" w:color="auto" w:fill="auto"/>
            <w:vAlign w:val="center"/>
          </w:tcPr>
          <w:p w14:paraId="010F7EAC" w14:textId="77777777" w:rsidR="00CB60B6" w:rsidRPr="00B81F55" w:rsidRDefault="00CB60B6" w:rsidP="00DA7FD4">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Pr="00B81F55">
              <w:rPr>
                <w:rFonts w:eastAsia="Times New Roman" w:cstheme="minorHAnsi"/>
                <w:color w:val="000000"/>
                <w:lang w:eastAsia="en-GB"/>
              </w:rPr>
              <w:tab/>
              <w:t>None</w:t>
            </w:r>
          </w:p>
          <w:p w14:paraId="6AE1F52F" w14:textId="53BCA27A" w:rsidR="00CB60B6" w:rsidRPr="00B81F55" w:rsidRDefault="00CB60B6" w:rsidP="00DA7FD4">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 xml:space="preserve">2021-24: </w:t>
            </w:r>
            <w:r w:rsidRPr="00B81F55">
              <w:rPr>
                <w:rFonts w:eastAsia="Times New Roman" w:cstheme="minorHAnsi"/>
                <w:color w:val="000000"/>
                <w:lang w:eastAsia="en-GB"/>
              </w:rPr>
              <w:tab/>
              <w:t>€1</w:t>
            </w:r>
            <w:r w:rsidR="00A8063F" w:rsidRPr="00B81F55">
              <w:rPr>
                <w:rFonts w:eastAsia="Times New Roman" w:cstheme="minorHAnsi"/>
                <w:color w:val="000000"/>
                <w:lang w:eastAsia="en-GB"/>
              </w:rPr>
              <w:t>5</w:t>
            </w:r>
            <w:r w:rsidRPr="00B81F55">
              <w:rPr>
                <w:rFonts w:eastAsia="Times New Roman" w:cstheme="minorHAnsi"/>
                <w:color w:val="000000"/>
                <w:lang w:eastAsia="en-GB"/>
              </w:rPr>
              <w:t>5K</w:t>
            </w:r>
            <w:r w:rsidR="004C60BD" w:rsidRPr="00B81F55">
              <w:rPr>
                <w:rFonts w:eastAsia="Times New Roman" w:cstheme="minorHAnsi"/>
                <w:color w:val="000000"/>
                <w:lang w:eastAsia="en-GB"/>
              </w:rPr>
              <w:t xml:space="preserve"> pa</w:t>
            </w:r>
          </w:p>
          <w:p w14:paraId="74105455" w14:textId="12A1E88D" w:rsidR="00CB60B6" w:rsidRPr="00B81F55" w:rsidRDefault="00CB60B6" w:rsidP="00DA7FD4">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2025-:</w:t>
            </w:r>
            <w:r w:rsidRPr="00B81F55">
              <w:rPr>
                <w:rFonts w:eastAsia="Times New Roman" w:cstheme="minorHAnsi"/>
                <w:color w:val="000000"/>
                <w:lang w:eastAsia="en-GB"/>
              </w:rPr>
              <w:tab/>
              <w:t>€</w:t>
            </w:r>
            <w:r w:rsidR="004D3D64" w:rsidRPr="00B81F55">
              <w:rPr>
                <w:rFonts w:eastAsia="Times New Roman" w:cstheme="minorHAnsi"/>
                <w:color w:val="000000"/>
                <w:lang w:eastAsia="en-GB"/>
              </w:rPr>
              <w:t xml:space="preserve">  9</w:t>
            </w:r>
            <w:r w:rsidRPr="00B81F55">
              <w:rPr>
                <w:rFonts w:eastAsia="Times New Roman" w:cstheme="minorHAnsi"/>
                <w:color w:val="000000"/>
                <w:lang w:eastAsia="en-GB"/>
              </w:rPr>
              <w:t>0K</w:t>
            </w:r>
            <w:r w:rsidR="004C60BD" w:rsidRPr="00B81F55">
              <w:rPr>
                <w:rFonts w:eastAsia="Times New Roman" w:cstheme="minorHAnsi"/>
                <w:color w:val="000000"/>
                <w:lang w:eastAsia="en-GB"/>
              </w:rPr>
              <w:t xml:space="preserve"> pa </w:t>
            </w:r>
          </w:p>
        </w:tc>
      </w:tr>
      <w:tr w:rsidR="00DA7FD4" w:rsidRPr="00FB53D1" w14:paraId="0E685DCC"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0DB2A532" w14:textId="512C8899" w:rsidR="00CB60B6" w:rsidRPr="00B81F55" w:rsidRDefault="006A6E6D"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_Ref13073718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5.2.6</w:t>
            </w:r>
            <w:r w:rsidRPr="00B81F55">
              <w:rPr>
                <w:rFonts w:cstheme="minorHAnsi"/>
              </w:rPr>
              <w:fldChar w:fldCharType="end"/>
            </w:r>
          </w:p>
        </w:tc>
        <w:tc>
          <w:tcPr>
            <w:tcW w:w="2843" w:type="dxa"/>
            <w:vAlign w:val="center"/>
          </w:tcPr>
          <w:p w14:paraId="1B8E393D" w14:textId="454BF2E9" w:rsidR="00CB60B6" w:rsidRPr="00B81F55" w:rsidRDefault="00CB60B6" w:rsidP="0058497E">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B81F55">
              <w:rPr>
                <w:rFonts w:cstheme="minorHAnsi"/>
              </w:rPr>
              <w:t>Validation of CDS Single Name</w:t>
            </w:r>
          </w:p>
        </w:tc>
        <w:tc>
          <w:tcPr>
            <w:tcW w:w="1701" w:type="dxa"/>
            <w:vAlign w:val="center"/>
          </w:tcPr>
          <w:p w14:paraId="3A369388" w14:textId="0DAF7DB1" w:rsidR="00CB60B6" w:rsidRPr="00B81F55" w:rsidRDefault="00CB60B6" w:rsidP="0058497E">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81F55">
              <w:rPr>
                <w:rFonts w:cstheme="minorHAnsi"/>
              </w:rPr>
              <w:t>Further Consultation</w:t>
            </w:r>
          </w:p>
        </w:tc>
        <w:tc>
          <w:tcPr>
            <w:tcW w:w="3261" w:type="dxa"/>
            <w:vAlign w:val="center"/>
          </w:tcPr>
          <w:p w14:paraId="5AC68EFD" w14:textId="10081276" w:rsidR="00CB60B6" w:rsidRPr="00B81F55" w:rsidRDefault="00CB60B6" w:rsidP="0058497E">
            <w:pPr>
              <w:pStyle w:val="ListParagraph"/>
              <w:numPr>
                <w:ilvl w:val="0"/>
                <w:numId w:val="46"/>
              </w:numPr>
              <w:spacing w:before="120" w:line="276" w:lineRule="auto"/>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004C60BD"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18F288A6"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2B00542E" w14:textId="34813D0F" w:rsidR="00CB60B6" w:rsidRPr="00B81F55" w:rsidRDefault="00852FF7"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_Ref13073728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5.2.7</w:t>
            </w:r>
            <w:r w:rsidRPr="00B81F55">
              <w:rPr>
                <w:rFonts w:cstheme="minorHAnsi"/>
              </w:rPr>
              <w:fldChar w:fldCharType="end"/>
            </w:r>
          </w:p>
        </w:tc>
        <w:tc>
          <w:tcPr>
            <w:tcW w:w="2843" w:type="dxa"/>
            <w:shd w:val="clear" w:color="auto" w:fill="auto"/>
            <w:vAlign w:val="center"/>
          </w:tcPr>
          <w:p w14:paraId="3D4E6B21" w14:textId="3A38AAE1" w:rsidR="00CB60B6" w:rsidRPr="00B81F55" w:rsidRDefault="00CB60B6" w:rsidP="0058497E">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B81F55">
              <w:rPr>
                <w:rFonts w:cstheme="minorHAnsi"/>
              </w:rPr>
              <w:t>Supplemental Data for ISIN-LEI Mapping</w:t>
            </w:r>
          </w:p>
        </w:tc>
        <w:tc>
          <w:tcPr>
            <w:tcW w:w="1701" w:type="dxa"/>
            <w:shd w:val="clear" w:color="auto" w:fill="auto"/>
            <w:vAlign w:val="center"/>
          </w:tcPr>
          <w:p w14:paraId="04709C38" w14:textId="1A5BD464" w:rsidR="00CB60B6" w:rsidRPr="00B81F55" w:rsidRDefault="00CB60B6" w:rsidP="0058497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cstheme="minorHAnsi"/>
              </w:rPr>
              <w:t>Further Consultation</w:t>
            </w:r>
          </w:p>
        </w:tc>
        <w:tc>
          <w:tcPr>
            <w:tcW w:w="3261" w:type="dxa"/>
            <w:shd w:val="clear" w:color="auto" w:fill="auto"/>
            <w:vAlign w:val="center"/>
          </w:tcPr>
          <w:p w14:paraId="6F25D1E7" w14:textId="7747B95C" w:rsidR="00CB60B6" w:rsidRPr="00B81F55" w:rsidRDefault="00CB60B6" w:rsidP="0058497E">
            <w:pPr>
              <w:pStyle w:val="ListParagraph"/>
              <w:numPr>
                <w:ilvl w:val="0"/>
                <w:numId w:val="46"/>
              </w:numPr>
              <w:spacing w:before="120"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005B1723" w:rsidRPr="00B81F55">
              <w:rPr>
                <w:rFonts w:eastAsia="Times New Roman" w:cstheme="minorHAnsi"/>
                <w:color w:val="000000"/>
                <w:lang w:eastAsia="en-GB"/>
              </w:rPr>
              <w:t>-</w:t>
            </w:r>
            <w:r w:rsidRPr="00B81F55">
              <w:rPr>
                <w:rFonts w:eastAsia="Times New Roman" w:cstheme="minorHAnsi"/>
                <w:color w:val="000000"/>
                <w:lang w:eastAsia="en-GB"/>
              </w:rPr>
              <w:t>:</w:t>
            </w:r>
            <w:r w:rsidRPr="00B81F55">
              <w:rPr>
                <w:rFonts w:eastAsia="Times New Roman" w:cstheme="minorHAnsi"/>
                <w:color w:val="000000"/>
                <w:lang w:eastAsia="en-GB"/>
              </w:rPr>
              <w:tab/>
              <w:t>None</w:t>
            </w:r>
          </w:p>
        </w:tc>
      </w:tr>
      <w:tr w:rsidR="00DA7FD4" w:rsidRPr="00FB53D1" w14:paraId="5862F9E8"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1" w:type="dxa"/>
            <w:shd w:val="clear" w:color="auto" w:fill="5B9BD5"/>
            <w:vAlign w:val="center"/>
          </w:tcPr>
          <w:p w14:paraId="2EBFD17B" w14:textId="5D103C5E" w:rsidR="00CB60B6" w:rsidRPr="00B81F55" w:rsidRDefault="00852FF7"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_Ref13073735 \r \h </w:instrText>
            </w:r>
            <w:r w:rsidR="004C60BD"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5.2.8</w:t>
            </w:r>
            <w:r w:rsidRPr="00B81F55">
              <w:rPr>
                <w:rFonts w:cstheme="minorHAnsi"/>
              </w:rPr>
              <w:fldChar w:fldCharType="end"/>
            </w:r>
          </w:p>
        </w:tc>
        <w:tc>
          <w:tcPr>
            <w:tcW w:w="2843" w:type="dxa"/>
            <w:vAlign w:val="center"/>
          </w:tcPr>
          <w:p w14:paraId="63C9DD31" w14:textId="5BD8FF1D" w:rsidR="00CB60B6" w:rsidRPr="00B81F55" w:rsidRDefault="00CB60B6" w:rsidP="0058497E">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B81F55">
              <w:rPr>
                <w:rFonts w:cstheme="minorHAnsi"/>
              </w:rPr>
              <w:t>Mapping of Index Names to Underlying Identifiers</w:t>
            </w:r>
          </w:p>
        </w:tc>
        <w:tc>
          <w:tcPr>
            <w:tcW w:w="1701" w:type="dxa"/>
            <w:vAlign w:val="center"/>
          </w:tcPr>
          <w:p w14:paraId="52378F9E" w14:textId="06955538" w:rsidR="00CB60B6" w:rsidRPr="00B81F55" w:rsidRDefault="00CB60B6" w:rsidP="0058497E">
            <w:pPr>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B81F55">
              <w:rPr>
                <w:rFonts w:cstheme="minorHAnsi"/>
              </w:rPr>
              <w:t>Further Consultation</w:t>
            </w:r>
          </w:p>
        </w:tc>
        <w:tc>
          <w:tcPr>
            <w:tcW w:w="3261" w:type="dxa"/>
            <w:vAlign w:val="center"/>
          </w:tcPr>
          <w:p w14:paraId="01641EFB" w14:textId="47531C4F" w:rsidR="00CB60B6" w:rsidRPr="00B81F55" w:rsidRDefault="00CB60B6" w:rsidP="00DA7FD4">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2020:</w:t>
            </w:r>
            <w:r w:rsidRPr="00B81F55">
              <w:rPr>
                <w:rFonts w:eastAsia="Times New Roman" w:cstheme="minorHAnsi"/>
                <w:color w:val="000000"/>
                <w:lang w:eastAsia="en-GB"/>
              </w:rPr>
              <w:tab/>
              <w:t>€60K</w:t>
            </w:r>
          </w:p>
          <w:p w14:paraId="29B67994" w14:textId="15A62699" w:rsidR="00CB60B6" w:rsidRPr="00B81F55" w:rsidRDefault="00CB60B6" w:rsidP="00DA7FD4">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B81F55">
              <w:rPr>
                <w:rFonts w:eastAsia="Times New Roman" w:cstheme="minorHAnsi"/>
                <w:color w:val="000000"/>
                <w:lang w:eastAsia="en-GB"/>
              </w:rPr>
              <w:t>2021-:</w:t>
            </w:r>
            <w:r w:rsidRPr="00B81F55">
              <w:rPr>
                <w:rFonts w:eastAsia="Times New Roman" w:cstheme="minorHAnsi"/>
                <w:color w:val="000000"/>
                <w:lang w:eastAsia="en-GB"/>
              </w:rPr>
              <w:tab/>
              <w:t>None</w:t>
            </w:r>
          </w:p>
        </w:tc>
      </w:tr>
      <w:tr w:rsidR="00DA7FD4" w:rsidRPr="00FB53D1" w14:paraId="17089CF6"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1" w:type="dxa"/>
            <w:vAlign w:val="center"/>
          </w:tcPr>
          <w:p w14:paraId="7D1F62E2" w14:textId="199654CC" w:rsidR="00CB60B6" w:rsidRPr="00B81F55" w:rsidRDefault="00852FF7" w:rsidP="00516EF3">
            <w:pPr>
              <w:spacing w:before="120" w:line="276" w:lineRule="auto"/>
              <w:rPr>
                <w:rFonts w:cstheme="minorHAnsi"/>
              </w:rPr>
            </w:pPr>
            <w:r w:rsidRPr="00B81F55">
              <w:rPr>
                <w:rFonts w:cstheme="minorHAnsi"/>
              </w:rPr>
              <w:fldChar w:fldCharType="begin"/>
            </w:r>
            <w:r w:rsidRPr="00B81F55">
              <w:rPr>
                <w:rFonts w:cstheme="minorHAnsi"/>
              </w:rPr>
              <w:instrText xml:space="preserve"> REF _Ref13073742 \r \h </w:instrText>
            </w:r>
            <w:r w:rsidR="00686EDA" w:rsidRPr="00B81F55">
              <w:rPr>
                <w:rFonts w:cstheme="minorHAnsi"/>
              </w:rPr>
              <w:instrText xml:space="preserve"> \* MERGEFORMAT </w:instrText>
            </w:r>
            <w:r w:rsidRPr="00B81F55">
              <w:rPr>
                <w:rFonts w:cstheme="minorHAnsi"/>
              </w:rPr>
            </w:r>
            <w:r w:rsidRPr="00B81F55">
              <w:rPr>
                <w:rFonts w:cstheme="minorHAnsi"/>
              </w:rPr>
              <w:fldChar w:fldCharType="separate"/>
            </w:r>
            <w:r w:rsidRPr="00B81F55">
              <w:rPr>
                <w:rFonts w:cstheme="minorHAnsi"/>
              </w:rPr>
              <w:t>5.2.9</w:t>
            </w:r>
            <w:r w:rsidRPr="00B81F55">
              <w:rPr>
                <w:rFonts w:cstheme="minorHAnsi"/>
              </w:rPr>
              <w:fldChar w:fldCharType="end"/>
            </w:r>
          </w:p>
        </w:tc>
        <w:tc>
          <w:tcPr>
            <w:tcW w:w="2843" w:type="dxa"/>
            <w:shd w:val="clear" w:color="auto" w:fill="auto"/>
            <w:vAlign w:val="center"/>
          </w:tcPr>
          <w:p w14:paraId="681A1CA2" w14:textId="513F1BEE" w:rsidR="00CB60B6" w:rsidRPr="00B81F55" w:rsidRDefault="00CB60B6" w:rsidP="0058497E">
            <w:pPr>
              <w:spacing w:before="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sidRPr="00B81F55">
              <w:rPr>
                <w:rFonts w:cstheme="minorHAnsi"/>
              </w:rPr>
              <w:t>Data Review Process</w:t>
            </w:r>
          </w:p>
        </w:tc>
        <w:tc>
          <w:tcPr>
            <w:tcW w:w="1701" w:type="dxa"/>
            <w:shd w:val="clear" w:color="auto" w:fill="auto"/>
            <w:vAlign w:val="center"/>
          </w:tcPr>
          <w:p w14:paraId="4CC96D82" w14:textId="3B7B0AF5" w:rsidR="00CB60B6" w:rsidRPr="00B81F55" w:rsidRDefault="00CB60B6" w:rsidP="0058497E">
            <w:pPr>
              <w:spacing w:before="12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B81F55">
              <w:rPr>
                <w:rFonts w:cstheme="minorHAnsi"/>
              </w:rPr>
              <w:t>Further Consultation</w:t>
            </w:r>
          </w:p>
        </w:tc>
        <w:tc>
          <w:tcPr>
            <w:tcW w:w="3261" w:type="dxa"/>
            <w:shd w:val="clear" w:color="auto" w:fill="auto"/>
            <w:vAlign w:val="center"/>
          </w:tcPr>
          <w:p w14:paraId="667AFB53" w14:textId="159EF75C" w:rsidR="00CB60B6" w:rsidRPr="00B81F55" w:rsidRDefault="00D41C65" w:rsidP="00DA7FD4">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1F55">
              <w:rPr>
                <w:rFonts w:eastAsia="Times New Roman" w:cstheme="minorHAnsi"/>
                <w:color w:val="000000"/>
                <w:lang w:eastAsia="en-GB"/>
              </w:rPr>
              <w:t>2</w:t>
            </w:r>
            <w:r w:rsidR="00CB60B6" w:rsidRPr="00B81F55">
              <w:rPr>
                <w:rFonts w:eastAsia="Times New Roman" w:cstheme="minorHAnsi"/>
                <w:color w:val="000000"/>
                <w:lang w:eastAsia="en-GB"/>
              </w:rPr>
              <w:t>020</w:t>
            </w:r>
            <w:r w:rsidR="005B1723" w:rsidRPr="00B81F55">
              <w:rPr>
                <w:rFonts w:eastAsia="Times New Roman" w:cstheme="minorHAnsi"/>
                <w:color w:val="000000"/>
                <w:lang w:eastAsia="en-GB"/>
              </w:rPr>
              <w:t>-</w:t>
            </w:r>
            <w:r w:rsidR="00CB60B6" w:rsidRPr="00B81F55">
              <w:rPr>
                <w:rFonts w:eastAsia="Times New Roman" w:cstheme="minorHAnsi"/>
                <w:color w:val="000000"/>
                <w:lang w:eastAsia="en-GB"/>
              </w:rPr>
              <w:t>:</w:t>
            </w:r>
            <w:r w:rsidR="00686EDA" w:rsidRPr="00B81F55">
              <w:rPr>
                <w:rFonts w:eastAsia="Times New Roman" w:cstheme="minorHAnsi"/>
                <w:color w:val="000000"/>
                <w:lang w:eastAsia="en-GB"/>
              </w:rPr>
              <w:tab/>
            </w:r>
            <w:r w:rsidR="00CB60B6" w:rsidRPr="00B81F55">
              <w:rPr>
                <w:rFonts w:eastAsia="Times New Roman" w:cstheme="minorHAnsi"/>
                <w:color w:val="000000"/>
                <w:lang w:eastAsia="en-GB"/>
              </w:rPr>
              <w:t>No</w:t>
            </w:r>
            <w:r w:rsidR="00686EDA" w:rsidRPr="00B81F55">
              <w:rPr>
                <w:rFonts w:eastAsia="Times New Roman" w:cstheme="minorHAnsi"/>
                <w:color w:val="000000"/>
                <w:lang w:eastAsia="en-GB"/>
              </w:rPr>
              <w:t>ne</w:t>
            </w:r>
          </w:p>
        </w:tc>
      </w:tr>
      <w:tr w:rsidR="00DB224F" w:rsidRPr="00FB53D1" w14:paraId="58D38330"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1" w:type="dxa"/>
            <w:shd w:val="clear" w:color="auto" w:fill="5B9BD5"/>
            <w:vAlign w:val="center"/>
          </w:tcPr>
          <w:p w14:paraId="3BB5B6D3" w14:textId="025E38DA" w:rsidR="00DB224F" w:rsidRPr="00B81F55" w:rsidRDefault="00DB224F" w:rsidP="0058497E">
            <w:pPr>
              <w:spacing w:before="120" w:line="276" w:lineRule="auto"/>
              <w:rPr>
                <w:rFonts w:cstheme="minorHAnsi"/>
                <w:bCs w:val="0"/>
              </w:rPr>
            </w:pPr>
          </w:p>
        </w:tc>
        <w:tc>
          <w:tcPr>
            <w:tcW w:w="4544" w:type="dxa"/>
            <w:gridSpan w:val="2"/>
            <w:shd w:val="clear" w:color="auto" w:fill="BDD6EE" w:themeFill="accent1" w:themeFillTint="66"/>
            <w:vAlign w:val="center"/>
          </w:tcPr>
          <w:p w14:paraId="2C579DD3" w14:textId="4B3687AA" w:rsidR="00DB224F" w:rsidRPr="00B81F55" w:rsidRDefault="00DB224F" w:rsidP="0058497E">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B81F55">
              <w:rPr>
                <w:rFonts w:cstheme="minorHAnsi"/>
              </w:rPr>
              <w:t>TOTAL</w:t>
            </w:r>
            <w:r w:rsidRPr="00B81F55">
              <w:rPr>
                <w:rStyle w:val="FootnoteReference"/>
                <w:rFonts w:cstheme="minorHAnsi"/>
                <w:b/>
              </w:rPr>
              <w:footnoteReference w:id="12"/>
            </w:r>
          </w:p>
        </w:tc>
        <w:tc>
          <w:tcPr>
            <w:tcW w:w="3261" w:type="dxa"/>
            <w:shd w:val="clear" w:color="auto" w:fill="BDD6EE" w:themeFill="accent1" w:themeFillTint="66"/>
            <w:vAlign w:val="center"/>
          </w:tcPr>
          <w:p w14:paraId="384E69E4" w14:textId="28C9D25E" w:rsidR="00DB224F" w:rsidRPr="00B81F55" w:rsidRDefault="00DB224F" w:rsidP="00DA7FD4">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81F55">
              <w:rPr>
                <w:rFonts w:cstheme="minorHAnsi"/>
                <w:color w:val="000000"/>
              </w:rPr>
              <w:t xml:space="preserve">2020: </w:t>
            </w:r>
            <w:r w:rsidRPr="00B81F55">
              <w:rPr>
                <w:rFonts w:cstheme="minorHAnsi"/>
                <w:color w:val="000000"/>
              </w:rPr>
              <w:tab/>
            </w:r>
            <w:proofErr w:type="gramStart"/>
            <w:r w:rsidRPr="00B81F55">
              <w:rPr>
                <w:rFonts w:cstheme="minorHAnsi"/>
                <w:color w:val="000000"/>
              </w:rPr>
              <w:t>€  60</w:t>
            </w:r>
            <w:proofErr w:type="gramEnd"/>
            <w:r w:rsidRPr="00B81F55">
              <w:rPr>
                <w:rFonts w:cstheme="minorHAnsi"/>
                <w:color w:val="000000"/>
              </w:rPr>
              <w:t>K</w:t>
            </w:r>
          </w:p>
          <w:p w14:paraId="3341192F" w14:textId="73B7A4D6" w:rsidR="00DB224F" w:rsidRPr="00B81F55" w:rsidRDefault="00DB224F" w:rsidP="00DA7FD4">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81F55">
              <w:rPr>
                <w:rFonts w:cstheme="minorHAnsi"/>
                <w:color w:val="000000"/>
              </w:rPr>
              <w:t>2021-2024:</w:t>
            </w:r>
            <w:r w:rsidRPr="00B81F55">
              <w:rPr>
                <w:rFonts w:cstheme="minorHAnsi"/>
                <w:color w:val="000000"/>
              </w:rPr>
              <w:tab/>
              <w:t>€1</w:t>
            </w:r>
            <w:r w:rsidR="00A8063F" w:rsidRPr="00B81F55">
              <w:rPr>
                <w:rFonts w:cstheme="minorHAnsi"/>
                <w:color w:val="000000"/>
              </w:rPr>
              <w:t>5</w:t>
            </w:r>
            <w:r w:rsidRPr="00B81F55">
              <w:rPr>
                <w:rFonts w:cstheme="minorHAnsi"/>
                <w:color w:val="000000"/>
              </w:rPr>
              <w:t xml:space="preserve">5K pa </w:t>
            </w:r>
          </w:p>
          <w:p w14:paraId="636FF33E" w14:textId="73CD9B05" w:rsidR="00DB224F" w:rsidRPr="00B81F55" w:rsidRDefault="00DB224F" w:rsidP="00DA7FD4">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lang w:eastAsia="en-GB"/>
              </w:rPr>
            </w:pPr>
            <w:r w:rsidRPr="00B81F55">
              <w:rPr>
                <w:rFonts w:cstheme="minorHAnsi"/>
                <w:color w:val="000000"/>
              </w:rPr>
              <w:t>2025-:</w:t>
            </w:r>
            <w:r w:rsidRPr="00B81F55">
              <w:rPr>
                <w:rFonts w:cstheme="minorHAnsi"/>
                <w:color w:val="000000"/>
              </w:rPr>
              <w:tab/>
              <w:t>€</w:t>
            </w:r>
            <w:r w:rsidRPr="00B81F55">
              <w:rPr>
                <w:rFonts w:eastAsia="Times New Roman" w:cstheme="minorHAnsi"/>
                <w:bCs/>
                <w:color w:val="000000"/>
                <w:lang w:eastAsia="en-GB"/>
              </w:rPr>
              <w:t xml:space="preserve">  90K pa</w:t>
            </w:r>
          </w:p>
        </w:tc>
      </w:tr>
    </w:tbl>
    <w:p w14:paraId="6E24D415" w14:textId="77777777" w:rsidR="00B73CDA" w:rsidRDefault="00B73CDA" w:rsidP="00763325">
      <w:pPr>
        <w:rPr>
          <w:rFonts w:ascii="Calibri" w:eastAsia="Times New Roman" w:hAnsi="Calibri" w:cs="Calibri"/>
          <w:color w:val="000000"/>
          <w:lang w:eastAsia="en-GB"/>
        </w:rPr>
      </w:pPr>
    </w:p>
    <w:bookmarkStart w:id="58" w:name="_Ref13057566"/>
    <w:bookmarkStart w:id="59" w:name="_Toc13087136"/>
    <w:bookmarkStart w:id="60" w:name="_Toc13157223"/>
    <w:p w14:paraId="48869267" w14:textId="59B9D962" w:rsidR="00763325" w:rsidRDefault="009B5045" w:rsidP="00763325">
      <w:pPr>
        <w:pStyle w:val="Heading3"/>
      </w:pPr>
      <w:r>
        <w:rPr>
          <w:noProof/>
          <w:lang w:eastAsia="en-GB"/>
        </w:rPr>
        <w:lastRenderedPageBreak/>
        <mc:AlternateContent>
          <mc:Choice Requires="wps">
            <w:drawing>
              <wp:anchor distT="45720" distB="45720" distL="114300" distR="114300" simplePos="0" relativeHeight="251556864" behindDoc="0" locked="0" layoutInCell="1" allowOverlap="1" wp14:anchorId="6B42796B" wp14:editId="56880D51">
                <wp:simplePos x="0" y="0"/>
                <wp:positionH relativeFrom="margin">
                  <wp:posOffset>0</wp:posOffset>
                </wp:positionH>
                <wp:positionV relativeFrom="paragraph">
                  <wp:posOffset>316107</wp:posOffset>
                </wp:positionV>
                <wp:extent cx="5716905" cy="1404620"/>
                <wp:effectExtent l="0" t="0" r="1714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D21B334" w14:textId="293FD8C2" w:rsidR="00D52BA4" w:rsidRDefault="00D52BA4" w:rsidP="00F01BB1">
                            <w:pPr>
                              <w:pStyle w:val="paragraph"/>
                              <w:textAlignment w:val="baseline"/>
                              <w:rPr>
                                <w:rStyle w:val="eop"/>
                                <w:rFonts w:ascii="Calibri" w:eastAsiaTheme="majorEastAsia" w:hAnsi="Calibri" w:cs="Calibri"/>
                                <w:sz w:val="22"/>
                                <w:szCs w:val="22"/>
                              </w:rPr>
                            </w:pPr>
                            <w:r w:rsidRPr="00B81F55">
                              <w:rPr>
                                <w:rStyle w:val="normaltextrun"/>
                                <w:rFonts w:ascii="Calibri" w:hAnsi="Calibri" w:cs="Calibri"/>
                                <w:b/>
                                <w:bCs/>
                                <w:color w:val="000000"/>
                                <w:sz w:val="22"/>
                                <w:szCs w:val="22"/>
                              </w:rPr>
                              <w:t>CP1 Question:</w:t>
                            </w:r>
                            <w:r>
                              <w:rPr>
                                <w:rStyle w:val="normaltextrun"/>
                                <w:rFonts w:ascii="Calibri" w:hAnsi="Calibri" w:cs="Calibri"/>
                                <w:b/>
                                <w:bCs/>
                                <w:color w:val="000000"/>
                              </w:rPr>
                              <w:t xml:space="preserve"> </w:t>
                            </w:r>
                            <w:r>
                              <w:rPr>
                                <w:rStyle w:val="normaltextrun"/>
                                <w:rFonts w:ascii="Calibri" w:hAnsi="Calibri" w:cs="Calibri"/>
                                <w:sz w:val="22"/>
                                <w:szCs w:val="22"/>
                              </w:rPr>
                              <w:t>The DSB currently supports a workflow that ensures that a Proprietary Index will be made available for the creation of OTC ISINs a maximum of 24 hours (if the request is submitted on a business day) following receipt of the initiating request. </w:t>
                            </w:r>
                            <w:r>
                              <w:rPr>
                                <w:rStyle w:val="eop"/>
                                <w:rFonts w:ascii="Calibri" w:eastAsiaTheme="majorEastAsia" w:hAnsi="Calibri" w:cs="Calibri"/>
                                <w:sz w:val="22"/>
                                <w:szCs w:val="22"/>
                              </w:rPr>
                              <w:t> </w:t>
                            </w:r>
                          </w:p>
                          <w:p w14:paraId="2CC43162" w14:textId="2D242807" w:rsidR="00D52BA4" w:rsidRDefault="00D52BA4" w:rsidP="00F01BB1">
                            <w:pPr>
                              <w:rPr>
                                <w:rStyle w:val="normaltextrun"/>
                                <w:rFonts w:ascii="Calibri" w:hAnsi="Calibri" w:cs="Calibri"/>
                                <w:bCs/>
                                <w:color w:val="000000"/>
                              </w:rPr>
                            </w:pPr>
                            <w:r w:rsidRPr="00763325">
                              <w:rPr>
                                <w:rStyle w:val="normaltextrun"/>
                                <w:rFonts w:ascii="Calibri" w:hAnsi="Calibri" w:cs="Calibri"/>
                                <w:bCs/>
                                <w:color w:val="000000"/>
                              </w:rPr>
                              <w:t>Do you want the DSB to investigate the creation of a tool to ensure that the submitted information can be easily amended if changes are required by an institution and the underlying data element has not been used to create an OTC ISIN?</w:t>
                            </w:r>
                          </w:p>
                          <w:p w14:paraId="0DD76FB9" w14:textId="77777777" w:rsidR="00D52BA4" w:rsidRPr="0000655B" w:rsidRDefault="00D52BA4" w:rsidP="000065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00655B">
                              <w:rPr>
                                <w:rFonts w:ascii="Calibri" w:eastAsia="Times New Roman" w:hAnsi="Calibri" w:cs="Calibri"/>
                                <w:lang w:eastAsia="en-GB"/>
                              </w:rPr>
                              <w:t>Any amendments to the list (once available in the DSB’s Production systems, but where the underlying index in question has not been used in the creation of an OTC derivative product record) require between two to four weeks to allow for code changes ahead of implementation.  </w:t>
                            </w:r>
                          </w:p>
                          <w:p w14:paraId="76CA8A42" w14:textId="7DA749D9" w:rsidR="00D52BA4" w:rsidRPr="00763325" w:rsidRDefault="00D52BA4" w:rsidP="00763325">
                            <w:r w:rsidRPr="00763325">
                              <w:rPr>
                                <w:rStyle w:val="normaltextrun"/>
                                <w:rFonts w:ascii="Calibri" w:hAnsi="Calibri" w:cs="Calibri"/>
                                <w:bCs/>
                                <w:color w:val="000000"/>
                              </w:rPr>
                              <w:t>This would enable users to have changes available in a few days rather than the current 2 to 4-week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42796B" id="_x0000_s1039" type="#_x0000_t202" style="position:absolute;left:0;text-align:left;margin-left:0;margin-top:24.9pt;width:450.15pt;height:110.6pt;z-index:251556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qXKQ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">
                <v:textbox style="mso-fit-shape-to-text:t">
                  <w:txbxContent>
                    <w:p w14:paraId="7D21B334" w14:textId="293FD8C2" w:rsidR="00D52BA4" w:rsidRDefault="00D52BA4" w:rsidP="00F01BB1">
                      <w:pPr>
                        <w:pStyle w:val="paragraph"/>
                        <w:textAlignment w:val="baseline"/>
                        <w:rPr>
                          <w:rStyle w:val="eop"/>
                          <w:rFonts w:ascii="Calibri" w:eastAsiaTheme="majorEastAsia" w:hAnsi="Calibri" w:cs="Calibri"/>
                          <w:sz w:val="22"/>
                          <w:szCs w:val="22"/>
                        </w:rPr>
                      </w:pPr>
                      <w:r w:rsidRPr="00B81F55">
                        <w:rPr>
                          <w:rStyle w:val="normaltextrun"/>
                          <w:rFonts w:ascii="Calibri" w:hAnsi="Calibri" w:cs="Calibri"/>
                          <w:b/>
                          <w:bCs/>
                          <w:color w:val="000000"/>
                          <w:sz w:val="22"/>
                          <w:szCs w:val="22"/>
                        </w:rPr>
                        <w:t>CP1 Question:</w:t>
                      </w:r>
                      <w:r>
                        <w:rPr>
                          <w:rStyle w:val="normaltextrun"/>
                          <w:rFonts w:ascii="Calibri" w:hAnsi="Calibri" w:cs="Calibri"/>
                          <w:b/>
                          <w:bCs/>
                          <w:color w:val="000000"/>
                        </w:rPr>
                        <w:t xml:space="preserve"> </w:t>
                      </w:r>
                      <w:r>
                        <w:rPr>
                          <w:rStyle w:val="normaltextrun"/>
                          <w:rFonts w:ascii="Calibri" w:hAnsi="Calibri" w:cs="Calibri"/>
                          <w:sz w:val="22"/>
                          <w:szCs w:val="22"/>
                        </w:rPr>
                        <w:t>The DSB currently supports a workflow that ensures that a Proprietary Index will be made available for the creation of OTC ISINs a maximum of 24 hours (if the request is submitted on a business day) following receipt of the initiating request. </w:t>
                      </w:r>
                      <w:r>
                        <w:rPr>
                          <w:rStyle w:val="eop"/>
                          <w:rFonts w:ascii="Calibri" w:eastAsiaTheme="majorEastAsia" w:hAnsi="Calibri" w:cs="Calibri"/>
                          <w:sz w:val="22"/>
                          <w:szCs w:val="22"/>
                        </w:rPr>
                        <w:t> </w:t>
                      </w:r>
                    </w:p>
                    <w:p w14:paraId="2CC43162" w14:textId="2D242807" w:rsidR="00D52BA4" w:rsidRDefault="00D52BA4" w:rsidP="00F01BB1">
                      <w:pPr>
                        <w:rPr>
                          <w:rStyle w:val="normaltextrun"/>
                          <w:rFonts w:ascii="Calibri" w:hAnsi="Calibri" w:cs="Calibri"/>
                          <w:bCs/>
                          <w:color w:val="000000"/>
                        </w:rPr>
                      </w:pPr>
                      <w:r w:rsidRPr="00763325">
                        <w:rPr>
                          <w:rStyle w:val="normaltextrun"/>
                          <w:rFonts w:ascii="Calibri" w:hAnsi="Calibri" w:cs="Calibri"/>
                          <w:bCs/>
                          <w:color w:val="000000"/>
                        </w:rPr>
                        <w:t>Do you want the DSB to investigate the creation of a tool to ensure that the submitted information can be easily amended if changes are required by an institution and the underlying data element has not been used to create an OTC ISIN?</w:t>
                      </w:r>
                    </w:p>
                    <w:p w14:paraId="0DD76FB9" w14:textId="77777777" w:rsidR="00D52BA4" w:rsidRPr="0000655B" w:rsidRDefault="00D52BA4" w:rsidP="0000655B">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00655B">
                        <w:rPr>
                          <w:rFonts w:ascii="Calibri" w:eastAsia="Times New Roman" w:hAnsi="Calibri" w:cs="Calibri"/>
                          <w:lang w:eastAsia="en-GB"/>
                        </w:rPr>
                        <w:t>Any amendments to the list (once available in the DSB’s Production systems, but where the underlying index in question has not been used in the creation of an OTC derivative product record) require between two to four weeks to allow for code changes ahead of implementation.  </w:t>
                      </w:r>
                    </w:p>
                    <w:p w14:paraId="76CA8A42" w14:textId="7DA749D9" w:rsidR="00D52BA4" w:rsidRPr="00763325" w:rsidRDefault="00D52BA4" w:rsidP="00763325">
                      <w:r w:rsidRPr="00763325">
                        <w:rPr>
                          <w:rStyle w:val="normaltextrun"/>
                          <w:rFonts w:ascii="Calibri" w:hAnsi="Calibri" w:cs="Calibri"/>
                          <w:bCs/>
                          <w:color w:val="000000"/>
                        </w:rPr>
                        <w:t>This would enable users to have changes available in a few days rather than the current 2 to 4-week process.</w:t>
                      </w:r>
                    </w:p>
                  </w:txbxContent>
                </v:textbox>
                <w10:wrap type="square" anchorx="margin"/>
              </v:shape>
            </w:pict>
          </mc:Fallback>
        </mc:AlternateContent>
      </w:r>
      <w:r w:rsidR="00763325">
        <w:t xml:space="preserve">Q2.1(b) – </w:t>
      </w:r>
      <w:r w:rsidR="00936416">
        <w:t>TOOL FOR PROPRIETARY INDEX SUBMISSIONS</w:t>
      </w:r>
      <w:bookmarkEnd w:id="58"/>
      <w:bookmarkEnd w:id="59"/>
      <w:bookmarkEnd w:id="60"/>
    </w:p>
    <w:p w14:paraId="6DAB585A" w14:textId="4E3EC935" w:rsidR="00763325" w:rsidRDefault="00763325" w:rsidP="0058497E">
      <w:pPr>
        <w:spacing w:before="100" w:beforeAutospacing="1" w:line="276" w:lineRule="auto"/>
        <w:textAlignment w:val="baseline"/>
        <w:rPr>
          <w:u w:val="single"/>
        </w:rPr>
      </w:pPr>
      <w:r>
        <w:rPr>
          <w:u w:val="single"/>
        </w:rPr>
        <w:t>Industry Responses</w:t>
      </w:r>
    </w:p>
    <w:p w14:paraId="2EDDE73F" w14:textId="35237730" w:rsidR="00763325" w:rsidRDefault="00763325" w:rsidP="00763325">
      <w:pPr>
        <w:spacing w:before="60" w:after="120" w:line="276" w:lineRule="auto"/>
      </w:pPr>
      <w:r>
        <w:t>Only 4 responses were received to the question posed in the first consultation, as set out below</w:t>
      </w:r>
      <w:r w:rsidR="000F5381">
        <w:t>:</w:t>
      </w:r>
    </w:p>
    <w:tbl>
      <w:tblPr>
        <w:tblW w:w="3270"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375"/>
        <w:gridCol w:w="515"/>
        <w:gridCol w:w="656"/>
      </w:tblGrid>
      <w:tr w:rsidR="00763325" w:rsidRPr="00DA06F0" w14:paraId="6F2947D1" w14:textId="77777777" w:rsidTr="003C2C6D">
        <w:trPr>
          <w:trHeight w:val="288"/>
        </w:trPr>
        <w:tc>
          <w:tcPr>
            <w:tcW w:w="2375" w:type="dxa"/>
            <w:vMerge w:val="restart"/>
            <w:shd w:val="clear" w:color="auto" w:fill="auto"/>
            <w:noWrap/>
            <w:vAlign w:val="center"/>
            <w:hideMark/>
          </w:tcPr>
          <w:p w14:paraId="11FD26D1" w14:textId="77777777" w:rsidR="00763325" w:rsidRPr="00DA06F0" w:rsidRDefault="00763325" w:rsidP="00763325">
            <w:pPr>
              <w:spacing w:after="0" w:line="276" w:lineRule="auto"/>
              <w:jc w:val="center"/>
              <w:rPr>
                <w:rFonts w:ascii="Times New Roman" w:eastAsia="Times New Roman" w:hAnsi="Times New Roman" w:cs="Times New Roman"/>
                <w:sz w:val="24"/>
                <w:szCs w:val="24"/>
                <w:lang w:eastAsia="en-GB"/>
              </w:rPr>
            </w:pPr>
          </w:p>
        </w:tc>
        <w:tc>
          <w:tcPr>
            <w:tcW w:w="239" w:type="dxa"/>
            <w:shd w:val="clear" w:color="auto" w:fill="auto"/>
            <w:noWrap/>
            <w:vAlign w:val="center"/>
            <w:hideMark/>
          </w:tcPr>
          <w:p w14:paraId="37C6EBFB" w14:textId="77777777" w:rsidR="00763325" w:rsidRPr="00DA06F0" w:rsidRDefault="00763325" w:rsidP="00763325">
            <w:pPr>
              <w:spacing w:after="0" w:line="276" w:lineRule="auto"/>
              <w:jc w:val="center"/>
              <w:rPr>
                <w:rFonts w:ascii="Calibri" w:eastAsia="Times New Roman" w:hAnsi="Calibri" w:cs="Calibri"/>
                <w:b/>
                <w:bCs/>
                <w:color w:val="000000"/>
                <w:sz w:val="21"/>
                <w:szCs w:val="21"/>
                <w:lang w:eastAsia="en-GB"/>
              </w:rPr>
            </w:pPr>
            <w:r w:rsidRPr="00DA06F0">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6557BDAB" w14:textId="77777777" w:rsidR="00763325" w:rsidRPr="00DA06F0" w:rsidRDefault="00763325" w:rsidP="00763325">
            <w:pPr>
              <w:spacing w:after="0" w:line="276" w:lineRule="auto"/>
              <w:jc w:val="center"/>
              <w:rPr>
                <w:rFonts w:ascii="Calibri" w:eastAsia="Times New Roman" w:hAnsi="Calibri" w:cs="Calibri"/>
                <w:b/>
                <w:bCs/>
                <w:color w:val="000000"/>
                <w:sz w:val="21"/>
                <w:szCs w:val="21"/>
                <w:lang w:eastAsia="en-GB"/>
              </w:rPr>
            </w:pPr>
            <w:r w:rsidRPr="00DA06F0">
              <w:rPr>
                <w:rFonts w:ascii="Calibri" w:eastAsia="Times New Roman" w:hAnsi="Calibri" w:cs="Calibri"/>
                <w:b/>
                <w:bCs/>
                <w:color w:val="000000"/>
                <w:sz w:val="21"/>
                <w:szCs w:val="21"/>
                <w:lang w:eastAsia="en-GB"/>
              </w:rPr>
              <w:t>No</w:t>
            </w:r>
          </w:p>
        </w:tc>
      </w:tr>
      <w:tr w:rsidR="00763325" w:rsidRPr="00DA06F0" w14:paraId="650E7DD5" w14:textId="77777777" w:rsidTr="003C2C6D">
        <w:trPr>
          <w:trHeight w:val="288"/>
        </w:trPr>
        <w:tc>
          <w:tcPr>
            <w:tcW w:w="2375" w:type="dxa"/>
            <w:vMerge/>
            <w:vAlign w:val="center"/>
            <w:hideMark/>
          </w:tcPr>
          <w:p w14:paraId="1DB508AD" w14:textId="77777777" w:rsidR="00763325" w:rsidRPr="00DA06F0" w:rsidRDefault="00763325" w:rsidP="00763325">
            <w:pPr>
              <w:spacing w:after="0" w:line="276" w:lineRule="auto"/>
              <w:jc w:val="center"/>
              <w:rPr>
                <w:rFonts w:ascii="Times New Roman" w:eastAsia="Times New Roman" w:hAnsi="Times New Roman" w:cs="Times New Roman"/>
                <w:sz w:val="24"/>
                <w:szCs w:val="24"/>
                <w:lang w:eastAsia="en-GB"/>
              </w:rPr>
            </w:pPr>
          </w:p>
        </w:tc>
        <w:tc>
          <w:tcPr>
            <w:tcW w:w="239" w:type="dxa"/>
            <w:shd w:val="clear" w:color="000000" w:fill="F8696B"/>
            <w:noWrap/>
            <w:vAlign w:val="center"/>
            <w:hideMark/>
          </w:tcPr>
          <w:p w14:paraId="451A901E" w14:textId="77777777" w:rsidR="00763325" w:rsidRPr="00DA06F0" w:rsidRDefault="00763325" w:rsidP="00763325">
            <w:pPr>
              <w:spacing w:after="0" w:line="276" w:lineRule="auto"/>
              <w:jc w:val="center"/>
              <w:rPr>
                <w:rFonts w:ascii="Calibri" w:eastAsia="Times New Roman" w:hAnsi="Calibri" w:cs="Calibri"/>
                <w:b/>
                <w:bCs/>
                <w:color w:val="000000"/>
                <w:sz w:val="21"/>
                <w:szCs w:val="21"/>
                <w:lang w:eastAsia="en-GB"/>
              </w:rPr>
            </w:pPr>
            <w:r w:rsidRPr="00DA06F0">
              <w:rPr>
                <w:rFonts w:ascii="Calibri" w:eastAsia="Times New Roman" w:hAnsi="Calibri" w:cs="Calibri"/>
                <w:b/>
                <w:bCs/>
                <w:color w:val="000000"/>
                <w:sz w:val="21"/>
                <w:szCs w:val="21"/>
                <w:lang w:eastAsia="en-GB"/>
              </w:rPr>
              <w:t>1</w:t>
            </w:r>
          </w:p>
        </w:tc>
        <w:tc>
          <w:tcPr>
            <w:tcW w:w="656" w:type="dxa"/>
            <w:shd w:val="clear" w:color="000000" w:fill="F3E884"/>
            <w:noWrap/>
            <w:vAlign w:val="center"/>
            <w:hideMark/>
          </w:tcPr>
          <w:p w14:paraId="27179C60" w14:textId="77777777" w:rsidR="00763325" w:rsidRPr="00DA06F0" w:rsidRDefault="00763325" w:rsidP="00763325">
            <w:pPr>
              <w:spacing w:after="0" w:line="276" w:lineRule="auto"/>
              <w:jc w:val="center"/>
              <w:rPr>
                <w:rFonts w:ascii="Calibri" w:eastAsia="Times New Roman" w:hAnsi="Calibri" w:cs="Calibri"/>
                <w:b/>
                <w:bCs/>
                <w:color w:val="000000"/>
                <w:sz w:val="21"/>
                <w:szCs w:val="21"/>
                <w:lang w:eastAsia="en-GB"/>
              </w:rPr>
            </w:pPr>
            <w:r w:rsidRPr="00DA06F0">
              <w:rPr>
                <w:rFonts w:ascii="Calibri" w:eastAsia="Times New Roman" w:hAnsi="Calibri" w:cs="Calibri"/>
                <w:b/>
                <w:bCs/>
                <w:color w:val="000000"/>
                <w:sz w:val="21"/>
                <w:szCs w:val="21"/>
                <w:lang w:eastAsia="en-GB"/>
              </w:rPr>
              <w:t>3</w:t>
            </w:r>
          </w:p>
        </w:tc>
      </w:tr>
      <w:tr w:rsidR="00763325" w:rsidRPr="00DA06F0" w14:paraId="020FE846" w14:textId="77777777" w:rsidTr="003C2C6D">
        <w:trPr>
          <w:trHeight w:val="288"/>
        </w:trPr>
        <w:tc>
          <w:tcPr>
            <w:tcW w:w="2375" w:type="dxa"/>
            <w:shd w:val="clear" w:color="auto" w:fill="auto"/>
            <w:noWrap/>
            <w:vAlign w:val="center"/>
            <w:hideMark/>
          </w:tcPr>
          <w:p w14:paraId="77FE4C1D" w14:textId="77777777" w:rsidR="00763325" w:rsidRPr="00DA06F0" w:rsidRDefault="00763325" w:rsidP="00763325">
            <w:pPr>
              <w:spacing w:after="0" w:line="276" w:lineRule="auto"/>
              <w:jc w:val="right"/>
              <w:rPr>
                <w:rFonts w:ascii="Calibri" w:eastAsia="Times New Roman" w:hAnsi="Calibri" w:cs="Calibri"/>
                <w:color w:val="000000"/>
                <w:sz w:val="21"/>
                <w:szCs w:val="21"/>
                <w:lang w:eastAsia="en-GB"/>
              </w:rPr>
            </w:pPr>
            <w:r w:rsidRPr="00DA06F0">
              <w:rPr>
                <w:rFonts w:ascii="Calibri" w:eastAsia="Times New Roman" w:hAnsi="Calibri" w:cs="Calibri"/>
                <w:color w:val="000000"/>
                <w:sz w:val="21"/>
                <w:szCs w:val="21"/>
                <w:lang w:eastAsia="en-GB"/>
              </w:rPr>
              <w:t>Trade Association</w:t>
            </w:r>
            <w:r>
              <w:rPr>
                <w:rFonts w:ascii="Calibri" w:eastAsia="Times New Roman" w:hAnsi="Calibri" w:cs="Calibri"/>
                <w:color w:val="000000"/>
                <w:sz w:val="21"/>
                <w:szCs w:val="21"/>
                <w:lang w:eastAsia="en-GB"/>
              </w:rPr>
              <w:t>s</w:t>
            </w:r>
          </w:p>
        </w:tc>
        <w:tc>
          <w:tcPr>
            <w:tcW w:w="239" w:type="dxa"/>
            <w:shd w:val="clear" w:color="auto" w:fill="auto"/>
            <w:noWrap/>
            <w:vAlign w:val="center"/>
            <w:hideMark/>
          </w:tcPr>
          <w:p w14:paraId="71BAE3E0" w14:textId="77777777" w:rsidR="00763325" w:rsidRPr="00DA06F0" w:rsidRDefault="00763325" w:rsidP="00763325">
            <w:pPr>
              <w:spacing w:after="0" w:line="276" w:lineRule="auto"/>
              <w:jc w:val="center"/>
              <w:rPr>
                <w:rFonts w:ascii="Calibri" w:eastAsia="Times New Roman" w:hAnsi="Calibri" w:cs="Calibri"/>
                <w:color w:val="000000"/>
                <w:sz w:val="21"/>
                <w:szCs w:val="21"/>
                <w:lang w:eastAsia="en-GB"/>
              </w:rPr>
            </w:pPr>
          </w:p>
        </w:tc>
        <w:tc>
          <w:tcPr>
            <w:tcW w:w="656" w:type="dxa"/>
            <w:shd w:val="clear" w:color="auto" w:fill="auto"/>
            <w:noWrap/>
            <w:vAlign w:val="center"/>
            <w:hideMark/>
          </w:tcPr>
          <w:p w14:paraId="29C50595" w14:textId="77777777" w:rsidR="00763325" w:rsidRPr="00DA06F0" w:rsidRDefault="00763325" w:rsidP="00763325">
            <w:pPr>
              <w:spacing w:after="0" w:line="276" w:lineRule="auto"/>
              <w:jc w:val="center"/>
              <w:rPr>
                <w:rFonts w:ascii="Calibri" w:eastAsia="Times New Roman" w:hAnsi="Calibri" w:cs="Calibri"/>
                <w:color w:val="000000"/>
                <w:sz w:val="21"/>
                <w:szCs w:val="21"/>
                <w:lang w:eastAsia="en-GB"/>
              </w:rPr>
            </w:pPr>
            <w:r w:rsidRPr="00DA06F0">
              <w:rPr>
                <w:rFonts w:ascii="Calibri" w:eastAsia="Times New Roman" w:hAnsi="Calibri" w:cs="Calibri"/>
                <w:color w:val="000000"/>
                <w:sz w:val="21"/>
                <w:szCs w:val="21"/>
                <w:lang w:eastAsia="en-GB"/>
              </w:rPr>
              <w:t>1</w:t>
            </w:r>
          </w:p>
        </w:tc>
      </w:tr>
      <w:tr w:rsidR="00763325" w:rsidRPr="00DA06F0" w14:paraId="445085F9" w14:textId="77777777" w:rsidTr="003C2C6D">
        <w:trPr>
          <w:trHeight w:val="288"/>
        </w:trPr>
        <w:tc>
          <w:tcPr>
            <w:tcW w:w="2375" w:type="dxa"/>
            <w:shd w:val="clear" w:color="auto" w:fill="auto"/>
            <w:noWrap/>
            <w:vAlign w:val="center"/>
            <w:hideMark/>
          </w:tcPr>
          <w:p w14:paraId="374E84F8" w14:textId="77777777" w:rsidR="00763325" w:rsidRPr="00DA06F0" w:rsidRDefault="00763325" w:rsidP="00763325">
            <w:pPr>
              <w:spacing w:after="0" w:line="276" w:lineRule="auto"/>
              <w:jc w:val="right"/>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DSB Users</w:t>
            </w:r>
          </w:p>
        </w:tc>
        <w:tc>
          <w:tcPr>
            <w:tcW w:w="239" w:type="dxa"/>
            <w:shd w:val="clear" w:color="auto" w:fill="auto"/>
            <w:noWrap/>
            <w:vAlign w:val="center"/>
            <w:hideMark/>
          </w:tcPr>
          <w:p w14:paraId="5A4FF922" w14:textId="77777777" w:rsidR="00763325" w:rsidRPr="00DA06F0" w:rsidRDefault="00763325" w:rsidP="00763325">
            <w:pPr>
              <w:spacing w:after="0" w:line="276" w:lineRule="auto"/>
              <w:jc w:val="center"/>
              <w:rPr>
                <w:rFonts w:ascii="Calibri" w:eastAsia="Times New Roman" w:hAnsi="Calibri" w:cs="Calibri"/>
                <w:color w:val="000000"/>
                <w:sz w:val="21"/>
                <w:szCs w:val="21"/>
                <w:lang w:eastAsia="en-GB"/>
              </w:rPr>
            </w:pPr>
            <w:r w:rsidRPr="00DA06F0">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4915726E" w14:textId="77777777" w:rsidR="00763325" w:rsidRPr="00DA06F0" w:rsidRDefault="00763325" w:rsidP="00763325">
            <w:pPr>
              <w:spacing w:after="0" w:line="276" w:lineRule="auto"/>
              <w:jc w:val="center"/>
              <w:rPr>
                <w:rFonts w:ascii="Calibri" w:eastAsia="Times New Roman" w:hAnsi="Calibri" w:cs="Calibri"/>
                <w:color w:val="000000"/>
                <w:sz w:val="21"/>
                <w:szCs w:val="21"/>
                <w:lang w:eastAsia="en-GB"/>
              </w:rPr>
            </w:pPr>
            <w:r w:rsidRPr="00DA06F0">
              <w:rPr>
                <w:rFonts w:ascii="Calibri" w:eastAsia="Times New Roman" w:hAnsi="Calibri" w:cs="Calibri"/>
                <w:color w:val="000000"/>
                <w:sz w:val="21"/>
                <w:szCs w:val="21"/>
                <w:lang w:eastAsia="en-GB"/>
              </w:rPr>
              <w:t>2</w:t>
            </w:r>
          </w:p>
        </w:tc>
      </w:tr>
    </w:tbl>
    <w:p w14:paraId="52815EA7" w14:textId="49A5E57A" w:rsidR="00763325" w:rsidRDefault="00763325" w:rsidP="00763325">
      <w:pPr>
        <w:spacing w:before="240" w:after="120" w:line="276" w:lineRule="auto"/>
      </w:pPr>
      <w:r>
        <w:t>Out of the few</w:t>
      </w:r>
      <w:r w:rsidR="003C2C6D">
        <w:t xml:space="preserve"> users </w:t>
      </w:r>
      <w:r>
        <w:t xml:space="preserve">that </w:t>
      </w:r>
      <w:r w:rsidR="003C2C6D">
        <w:t xml:space="preserve">provided a </w:t>
      </w:r>
      <w:r>
        <w:t>respon</w:t>
      </w:r>
      <w:r w:rsidR="003C2C6D">
        <w:t>se</w:t>
      </w:r>
      <w:r>
        <w:t xml:space="preserve">, the majority did not see a need for the DSB to create a tool to enhance the proprietary index submission process in a way that would allow for changes to be more easily supported. </w:t>
      </w:r>
    </w:p>
    <w:p w14:paraId="616953DA" w14:textId="3DAF4036" w:rsidR="00763325" w:rsidRDefault="00763325" w:rsidP="0058497E">
      <w:pPr>
        <w:spacing w:before="240"/>
        <w:rPr>
          <w:u w:val="single"/>
        </w:rPr>
      </w:pPr>
      <w:r>
        <w:rPr>
          <w:u w:val="single"/>
        </w:rPr>
        <w:t>Analysis of Responses</w:t>
      </w:r>
    </w:p>
    <w:p w14:paraId="073F2C97" w14:textId="7ABFCC7C" w:rsidR="00763325" w:rsidRPr="00763325" w:rsidRDefault="00F87DDE" w:rsidP="00763325">
      <w:r>
        <w:t xml:space="preserve">The combination of </w:t>
      </w:r>
      <w:r w:rsidR="00763325">
        <w:t xml:space="preserve">low number of respondents and </w:t>
      </w:r>
      <w:r>
        <w:t xml:space="preserve">majority negative </w:t>
      </w:r>
      <w:r w:rsidR="00763325">
        <w:t>responses</w:t>
      </w:r>
      <w:r>
        <w:t xml:space="preserve"> leads </w:t>
      </w:r>
      <w:r w:rsidR="00763325">
        <w:t xml:space="preserve">the DSB </w:t>
      </w:r>
      <w:r>
        <w:t xml:space="preserve">to </w:t>
      </w:r>
      <w:r w:rsidR="00763325">
        <w:t>believe</w:t>
      </w:r>
      <w:r>
        <w:t xml:space="preserve"> that</w:t>
      </w:r>
      <w:r w:rsidR="00763325">
        <w:t xml:space="preserve"> there is no industry interest in a tool</w:t>
      </w:r>
      <w:r>
        <w:t xml:space="preserve"> t</w:t>
      </w:r>
      <w:r w:rsidR="00A2169F">
        <w:t>o enhance the proprietary index submission process within the DSB’s cost recovery mandate.</w:t>
      </w:r>
    </w:p>
    <w:p w14:paraId="20C2C669" w14:textId="7B83353B" w:rsidR="00763325" w:rsidRDefault="00763325" w:rsidP="0058497E">
      <w:pPr>
        <w:spacing w:before="240"/>
        <w:rPr>
          <w:u w:val="single"/>
        </w:rPr>
      </w:pPr>
      <w:r>
        <w:rPr>
          <w:u w:val="single"/>
        </w:rPr>
        <w:t>DSB Proposed Next Steps</w:t>
      </w:r>
    </w:p>
    <w:p w14:paraId="5D5FDFD8" w14:textId="34F73C66" w:rsidR="00763325" w:rsidRDefault="00763325" w:rsidP="00763325">
      <w:pPr>
        <w:rPr>
          <w:u w:val="single"/>
        </w:rPr>
      </w:pPr>
      <w:r w:rsidRPr="00B540D7">
        <w:t>No further action to be taken.</w:t>
      </w:r>
    </w:p>
    <w:p w14:paraId="76C04E04" w14:textId="0BD4E502" w:rsidR="00936416" w:rsidRDefault="00886DED" w:rsidP="00936416">
      <w:pPr>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572224" behindDoc="1" locked="0" layoutInCell="1" allowOverlap="1" wp14:anchorId="50BAE739" wp14:editId="3C73C567">
                <wp:simplePos x="0" y="0"/>
                <wp:positionH relativeFrom="margin">
                  <wp:posOffset>-43835</wp:posOffset>
                </wp:positionH>
                <wp:positionV relativeFrom="paragraph">
                  <wp:posOffset>213729</wp:posOffset>
                </wp:positionV>
                <wp:extent cx="5716905" cy="1404620"/>
                <wp:effectExtent l="0" t="0" r="17145" b="27305"/>
                <wp:wrapTight wrapText="bothSides">
                  <wp:wrapPolygon edited="0">
                    <wp:start x="0" y="0"/>
                    <wp:lineTo x="0" y="21940"/>
                    <wp:lineTo x="21593" y="21940"/>
                    <wp:lineTo x="21593"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C2D5890" w14:textId="75D8E94E" w:rsidR="00D52BA4" w:rsidRDefault="00D52BA4" w:rsidP="00763325">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7</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3C2C6D">
                              <w:rPr>
                                <w:rStyle w:val="eop"/>
                                <w:rFonts w:ascii="Calibri" w:eastAsiaTheme="majorEastAsia" w:hAnsi="Calibri" w:cs="Calibri"/>
                                <w:sz w:val="22"/>
                                <w:szCs w:val="22"/>
                              </w:rPr>
                              <w:t>Do you concur with the DSB’s proposal to</w:t>
                            </w:r>
                            <w:r>
                              <w:rPr>
                                <w:rStyle w:val="eop"/>
                                <w:rFonts w:ascii="Calibri" w:eastAsiaTheme="majorEastAsia" w:hAnsi="Calibri" w:cs="Calibri"/>
                                <w:sz w:val="22"/>
                                <w:szCs w:val="22"/>
                              </w:rPr>
                              <w:t xml:space="preserve"> take no further action on a tool to enhance the proprietary index submission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BAE739" id="Text Box 22" o:spid="_x0000_s1040" type="#_x0000_t202" style="position:absolute;margin-left:-3.45pt;margin-top:16.85pt;width:450.15pt;height:110.6pt;z-index:-251744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">
                <v:textbox style="mso-fit-shape-to-text:t">
                  <w:txbxContent>
                    <w:p w14:paraId="1C2D5890" w14:textId="75D8E94E" w:rsidR="00D52BA4" w:rsidRDefault="00D52BA4" w:rsidP="00763325">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7</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3C2C6D">
                        <w:rPr>
                          <w:rStyle w:val="eop"/>
                          <w:rFonts w:ascii="Calibri" w:eastAsiaTheme="majorEastAsia" w:hAnsi="Calibri" w:cs="Calibri"/>
                          <w:sz w:val="22"/>
                          <w:szCs w:val="22"/>
                        </w:rPr>
                        <w:t>Do you concur with the DSB’s proposal to</w:t>
                      </w:r>
                      <w:r>
                        <w:rPr>
                          <w:rStyle w:val="eop"/>
                          <w:rFonts w:ascii="Calibri" w:eastAsiaTheme="majorEastAsia" w:hAnsi="Calibri" w:cs="Calibri"/>
                          <w:sz w:val="22"/>
                          <w:szCs w:val="22"/>
                        </w:rPr>
                        <w:t xml:space="preserve"> take no further action on a tool to enhance the proprietary index submission process?</w:t>
                      </w:r>
                    </w:p>
                  </w:txbxContent>
                </v:textbox>
                <w10:wrap type="tight" anchorx="margin"/>
              </v:shape>
            </w:pict>
          </mc:Fallback>
        </mc:AlternateContent>
      </w:r>
    </w:p>
    <w:bookmarkStart w:id="61" w:name="_Ref13069896"/>
    <w:bookmarkStart w:id="62" w:name="_Toc13087137"/>
    <w:bookmarkStart w:id="63" w:name="_Toc13157224"/>
    <w:p w14:paraId="4A7DDA27" w14:textId="54F4A995" w:rsidR="00936416" w:rsidRDefault="00253896" w:rsidP="00936416">
      <w:pPr>
        <w:pStyle w:val="Heading3"/>
      </w:pPr>
      <w:r>
        <w:rPr>
          <w:noProof/>
          <w:lang w:eastAsia="en-GB"/>
        </w:rPr>
        <w:lastRenderedPageBreak/>
        <mc:AlternateContent>
          <mc:Choice Requires="wps">
            <w:drawing>
              <wp:anchor distT="45720" distB="45720" distL="114300" distR="114300" simplePos="0" relativeHeight="251586560" behindDoc="0" locked="0" layoutInCell="1" allowOverlap="1" wp14:anchorId="37401BF4" wp14:editId="4068C640">
                <wp:simplePos x="0" y="0"/>
                <wp:positionH relativeFrom="margin">
                  <wp:align>right</wp:align>
                </wp:positionH>
                <wp:positionV relativeFrom="paragraph">
                  <wp:posOffset>333292</wp:posOffset>
                </wp:positionV>
                <wp:extent cx="5716905" cy="1404620"/>
                <wp:effectExtent l="0" t="0" r="1714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0040896" w14:textId="6A675ED2" w:rsidR="00D52BA4" w:rsidRPr="00936416" w:rsidRDefault="00D52BA4" w:rsidP="00936416">
                            <w:pPr>
                              <w:rPr>
                                <w:rStyle w:val="normaltextrun"/>
                                <w:rFonts w:ascii="Calibri" w:hAnsi="Calibri" w:cs="Calibri"/>
                                <w:bCs/>
                                <w:color w:val="000000"/>
                              </w:rPr>
                            </w:pPr>
                            <w:r>
                              <w:rPr>
                                <w:rStyle w:val="normaltextrun"/>
                                <w:rFonts w:ascii="Calibri" w:hAnsi="Calibri" w:cs="Calibri"/>
                                <w:b/>
                                <w:bCs/>
                                <w:color w:val="000000"/>
                              </w:rPr>
                              <w:t xml:space="preserve">CP1 Question </w:t>
                            </w:r>
                            <w:r w:rsidRPr="00936416">
                              <w:rPr>
                                <w:rStyle w:val="normaltextrun"/>
                                <w:rFonts w:ascii="Calibri" w:hAnsi="Calibri" w:cs="Calibri"/>
                                <w:b/>
                                <w:bCs/>
                                <w:color w:val="000000"/>
                              </w:rPr>
                              <w:t>2.1 (c)</w:t>
                            </w:r>
                            <w:r w:rsidRPr="00936416">
                              <w:rPr>
                                <w:rStyle w:val="normaltextrun"/>
                                <w:rFonts w:ascii="Calibri" w:hAnsi="Calibri" w:cs="Calibri"/>
                                <w:bCs/>
                                <w:color w:val="000000"/>
                              </w:rPr>
                              <w:t xml:space="preserve">: Is there a need to reduce the proprietary index SLA to under 24 hours? </w:t>
                            </w:r>
                          </w:p>
                          <w:p w14:paraId="4B372785" w14:textId="7B3D0065" w:rsidR="00D52BA4" w:rsidRDefault="00D52BA4" w:rsidP="00936416">
                            <w:r>
                              <w:rPr>
                                <w:rStyle w:val="normaltextrun"/>
                                <w:rFonts w:ascii="Calibri" w:hAnsi="Calibri" w:cs="Calibri"/>
                                <w:b/>
                                <w:bCs/>
                                <w:color w:val="000000"/>
                              </w:rPr>
                              <w:t xml:space="preserve">CP1 Question </w:t>
                            </w:r>
                            <w:r w:rsidRPr="00936416">
                              <w:rPr>
                                <w:rStyle w:val="normaltextrun"/>
                                <w:rFonts w:ascii="Calibri" w:hAnsi="Calibri" w:cs="Calibri"/>
                                <w:b/>
                                <w:bCs/>
                                <w:color w:val="000000"/>
                              </w:rPr>
                              <w:t>2.1 (d)</w:t>
                            </w:r>
                            <w:r w:rsidRPr="00936416">
                              <w:rPr>
                                <w:rStyle w:val="normaltextrun"/>
                                <w:rFonts w:ascii="Calibri" w:hAnsi="Calibri" w:cs="Calibri"/>
                                <w:bCs/>
                                <w:color w:val="000000"/>
                              </w:rPr>
                              <w:t>: If yes to 2.1c, what is the required time. Use Cases to support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01BF4" id="_x0000_s1041" type="#_x0000_t202" style="position:absolute;left:0;text-align:left;margin-left:398.95pt;margin-top:26.25pt;width:450.15pt;height:110.6pt;z-index:251586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KQIAAE4EAAAOAAAAZHJzL2Uyb0RvYy54bWysVNtu2zAMfR+wfxD0vviyOG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">
                <v:textbox style="mso-fit-shape-to-text:t">
                  <w:txbxContent>
                    <w:p w14:paraId="70040896" w14:textId="6A675ED2" w:rsidR="00D52BA4" w:rsidRPr="00936416" w:rsidRDefault="00D52BA4" w:rsidP="00936416">
                      <w:pPr>
                        <w:rPr>
                          <w:rStyle w:val="normaltextrun"/>
                          <w:rFonts w:ascii="Calibri" w:hAnsi="Calibri" w:cs="Calibri"/>
                          <w:bCs/>
                          <w:color w:val="000000"/>
                        </w:rPr>
                      </w:pPr>
                      <w:r>
                        <w:rPr>
                          <w:rStyle w:val="normaltextrun"/>
                          <w:rFonts w:ascii="Calibri" w:hAnsi="Calibri" w:cs="Calibri"/>
                          <w:b/>
                          <w:bCs/>
                          <w:color w:val="000000"/>
                        </w:rPr>
                        <w:t xml:space="preserve">CP1 Question </w:t>
                      </w:r>
                      <w:r w:rsidRPr="00936416">
                        <w:rPr>
                          <w:rStyle w:val="normaltextrun"/>
                          <w:rFonts w:ascii="Calibri" w:hAnsi="Calibri" w:cs="Calibri"/>
                          <w:b/>
                          <w:bCs/>
                          <w:color w:val="000000"/>
                        </w:rPr>
                        <w:t>2.1 (c)</w:t>
                      </w:r>
                      <w:r w:rsidRPr="00936416">
                        <w:rPr>
                          <w:rStyle w:val="normaltextrun"/>
                          <w:rFonts w:ascii="Calibri" w:hAnsi="Calibri" w:cs="Calibri"/>
                          <w:bCs/>
                          <w:color w:val="000000"/>
                        </w:rPr>
                        <w:t xml:space="preserve">: Is there a need to reduce the proprietary index SLA to under 24 hours? </w:t>
                      </w:r>
                    </w:p>
                    <w:p w14:paraId="4B372785" w14:textId="7B3D0065" w:rsidR="00D52BA4" w:rsidRDefault="00D52BA4" w:rsidP="00936416">
                      <w:r>
                        <w:rPr>
                          <w:rStyle w:val="normaltextrun"/>
                          <w:rFonts w:ascii="Calibri" w:hAnsi="Calibri" w:cs="Calibri"/>
                          <w:b/>
                          <w:bCs/>
                          <w:color w:val="000000"/>
                        </w:rPr>
                        <w:t xml:space="preserve">CP1 Question </w:t>
                      </w:r>
                      <w:r w:rsidRPr="00936416">
                        <w:rPr>
                          <w:rStyle w:val="normaltextrun"/>
                          <w:rFonts w:ascii="Calibri" w:hAnsi="Calibri" w:cs="Calibri"/>
                          <w:b/>
                          <w:bCs/>
                          <w:color w:val="000000"/>
                        </w:rPr>
                        <w:t>2.1 (d)</w:t>
                      </w:r>
                      <w:r w:rsidRPr="00936416">
                        <w:rPr>
                          <w:rStyle w:val="normaltextrun"/>
                          <w:rFonts w:ascii="Calibri" w:hAnsi="Calibri" w:cs="Calibri"/>
                          <w:bCs/>
                          <w:color w:val="000000"/>
                        </w:rPr>
                        <w:t>: If yes to 2.1c, what is the required time. Use Cases to support this?</w:t>
                      </w:r>
                    </w:p>
                  </w:txbxContent>
                </v:textbox>
                <w10:wrap type="square" anchorx="margin"/>
              </v:shape>
            </w:pict>
          </mc:Fallback>
        </mc:AlternateContent>
      </w:r>
      <w:r w:rsidR="00936416">
        <w:t>Q2.1</w:t>
      </w:r>
      <w:r w:rsidR="000F5381">
        <w:t>(c</w:t>
      </w:r>
      <w:r w:rsidR="00404C46">
        <w:t>) &amp; (</w:t>
      </w:r>
      <w:r w:rsidR="000F5381">
        <w:t>d)</w:t>
      </w:r>
      <w:r w:rsidR="00936416">
        <w:t xml:space="preserve"> – </w:t>
      </w:r>
      <w:r w:rsidR="000F5381">
        <w:t>SLA FOR PROPRIETARY INDEX</w:t>
      </w:r>
      <w:bookmarkEnd w:id="61"/>
      <w:bookmarkEnd w:id="62"/>
      <w:bookmarkEnd w:id="63"/>
    </w:p>
    <w:p w14:paraId="5926D6D2" w14:textId="468DD7E1" w:rsidR="00936416" w:rsidRDefault="00936416" w:rsidP="0058497E">
      <w:pPr>
        <w:spacing w:before="240"/>
        <w:rPr>
          <w:u w:val="single"/>
        </w:rPr>
      </w:pPr>
      <w:r>
        <w:rPr>
          <w:u w:val="single"/>
        </w:rPr>
        <w:t>Industry Responses</w:t>
      </w:r>
    </w:p>
    <w:p w14:paraId="4CABB845" w14:textId="27A38438" w:rsidR="000F5381" w:rsidRDefault="000F5381" w:rsidP="000F5381">
      <w:pPr>
        <w:spacing w:before="60" w:after="120" w:line="276" w:lineRule="auto"/>
      </w:pPr>
      <w:r>
        <w:t>Only 6 responses were received to the question posed in the first consultation, as set out below:</w:t>
      </w:r>
    </w:p>
    <w:tbl>
      <w:tblPr>
        <w:tblW w:w="3298"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0F5381" w:rsidRPr="007E7A90" w14:paraId="32CA9811" w14:textId="77777777" w:rsidTr="000F5381">
        <w:trPr>
          <w:trHeight w:val="288"/>
        </w:trPr>
        <w:tc>
          <w:tcPr>
            <w:tcW w:w="2127" w:type="dxa"/>
            <w:vMerge w:val="restart"/>
            <w:shd w:val="clear" w:color="auto" w:fill="auto"/>
            <w:noWrap/>
            <w:vAlign w:val="center"/>
            <w:hideMark/>
          </w:tcPr>
          <w:p w14:paraId="0337E456" w14:textId="77777777" w:rsidR="000F5381" w:rsidRPr="007E7A90" w:rsidRDefault="000F5381" w:rsidP="009467EC">
            <w:pPr>
              <w:spacing w:after="0" w:line="276"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123F6C12" w14:textId="77777777" w:rsidR="000F5381" w:rsidRPr="007E7A90" w:rsidRDefault="000F5381" w:rsidP="009467EC">
            <w:pPr>
              <w:spacing w:after="0" w:line="276" w:lineRule="auto"/>
              <w:jc w:val="center"/>
              <w:rPr>
                <w:rFonts w:ascii="Calibri" w:eastAsia="Times New Roman" w:hAnsi="Calibri" w:cs="Calibri"/>
                <w:b/>
                <w:bCs/>
                <w:color w:val="000000"/>
                <w:sz w:val="21"/>
                <w:szCs w:val="21"/>
                <w:lang w:eastAsia="en-GB"/>
              </w:rPr>
            </w:pPr>
            <w:r w:rsidRPr="007E7A90">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2621A431" w14:textId="77777777" w:rsidR="000F5381" w:rsidRPr="007E7A90" w:rsidRDefault="000F5381" w:rsidP="009467EC">
            <w:pPr>
              <w:spacing w:after="0" w:line="276" w:lineRule="auto"/>
              <w:jc w:val="center"/>
              <w:rPr>
                <w:rFonts w:ascii="Calibri" w:eastAsia="Times New Roman" w:hAnsi="Calibri" w:cs="Calibri"/>
                <w:b/>
                <w:bCs/>
                <w:color w:val="000000"/>
                <w:sz w:val="21"/>
                <w:szCs w:val="21"/>
                <w:lang w:eastAsia="en-GB"/>
              </w:rPr>
            </w:pPr>
            <w:r w:rsidRPr="007E7A90">
              <w:rPr>
                <w:rFonts w:ascii="Calibri" w:eastAsia="Times New Roman" w:hAnsi="Calibri" w:cs="Calibri"/>
                <w:b/>
                <w:bCs/>
                <w:color w:val="000000"/>
                <w:sz w:val="21"/>
                <w:szCs w:val="21"/>
                <w:lang w:eastAsia="en-GB"/>
              </w:rPr>
              <w:t>No</w:t>
            </w:r>
          </w:p>
        </w:tc>
      </w:tr>
      <w:tr w:rsidR="000F5381" w:rsidRPr="007E7A90" w14:paraId="644B4E80" w14:textId="77777777" w:rsidTr="000F5381">
        <w:trPr>
          <w:trHeight w:val="288"/>
        </w:trPr>
        <w:tc>
          <w:tcPr>
            <w:tcW w:w="2127" w:type="dxa"/>
            <w:vMerge/>
            <w:vAlign w:val="center"/>
            <w:hideMark/>
          </w:tcPr>
          <w:p w14:paraId="2138A3C9" w14:textId="77777777" w:rsidR="000F5381" w:rsidRPr="007E7A90" w:rsidRDefault="000F5381" w:rsidP="009467EC">
            <w:pPr>
              <w:spacing w:after="0" w:line="276" w:lineRule="auto"/>
              <w:rPr>
                <w:rFonts w:ascii="Times New Roman" w:eastAsia="Times New Roman" w:hAnsi="Times New Roman" w:cs="Times New Roman"/>
                <w:sz w:val="24"/>
                <w:szCs w:val="24"/>
                <w:lang w:eastAsia="en-GB"/>
              </w:rPr>
            </w:pPr>
          </w:p>
        </w:tc>
        <w:tc>
          <w:tcPr>
            <w:tcW w:w="515" w:type="dxa"/>
            <w:shd w:val="clear" w:color="000000" w:fill="FBAA77"/>
            <w:noWrap/>
            <w:vAlign w:val="center"/>
            <w:hideMark/>
          </w:tcPr>
          <w:p w14:paraId="14F0272B" w14:textId="77777777" w:rsidR="000F5381" w:rsidRPr="007E7A90" w:rsidRDefault="000F5381" w:rsidP="009467EC">
            <w:pPr>
              <w:spacing w:after="0" w:line="276" w:lineRule="auto"/>
              <w:jc w:val="center"/>
              <w:rPr>
                <w:rFonts w:ascii="Calibri" w:eastAsia="Times New Roman" w:hAnsi="Calibri" w:cs="Calibri"/>
                <w:b/>
                <w:bCs/>
                <w:color w:val="000000"/>
                <w:sz w:val="21"/>
                <w:szCs w:val="21"/>
                <w:lang w:eastAsia="en-GB"/>
              </w:rPr>
            </w:pPr>
            <w:r w:rsidRPr="007E7A90">
              <w:rPr>
                <w:rFonts w:ascii="Calibri" w:eastAsia="Times New Roman" w:hAnsi="Calibri" w:cs="Calibri"/>
                <w:b/>
                <w:bCs/>
                <w:color w:val="000000"/>
                <w:sz w:val="21"/>
                <w:szCs w:val="21"/>
                <w:lang w:eastAsia="en-GB"/>
              </w:rPr>
              <w:t>2</w:t>
            </w:r>
          </w:p>
        </w:tc>
        <w:tc>
          <w:tcPr>
            <w:tcW w:w="656" w:type="dxa"/>
            <w:shd w:val="clear" w:color="000000" w:fill="EEE683"/>
            <w:noWrap/>
            <w:vAlign w:val="center"/>
            <w:hideMark/>
          </w:tcPr>
          <w:p w14:paraId="5C1B6B98" w14:textId="77777777" w:rsidR="000F5381" w:rsidRPr="007E7A90" w:rsidRDefault="000F5381" w:rsidP="009467EC">
            <w:pPr>
              <w:spacing w:after="0" w:line="276" w:lineRule="auto"/>
              <w:jc w:val="center"/>
              <w:rPr>
                <w:rFonts w:ascii="Calibri" w:eastAsia="Times New Roman" w:hAnsi="Calibri" w:cs="Calibri"/>
                <w:b/>
                <w:bCs/>
                <w:color w:val="000000"/>
                <w:sz w:val="21"/>
                <w:szCs w:val="21"/>
                <w:lang w:eastAsia="en-GB"/>
              </w:rPr>
            </w:pPr>
            <w:r w:rsidRPr="007E7A90">
              <w:rPr>
                <w:rFonts w:ascii="Calibri" w:eastAsia="Times New Roman" w:hAnsi="Calibri" w:cs="Calibri"/>
                <w:b/>
                <w:bCs/>
                <w:color w:val="000000"/>
                <w:sz w:val="21"/>
                <w:szCs w:val="21"/>
                <w:lang w:eastAsia="en-GB"/>
              </w:rPr>
              <w:t>4</w:t>
            </w:r>
          </w:p>
        </w:tc>
      </w:tr>
      <w:tr w:rsidR="000F5381" w:rsidRPr="007E7A90" w14:paraId="5BF06B82" w14:textId="77777777" w:rsidTr="000F5381">
        <w:trPr>
          <w:trHeight w:val="288"/>
        </w:trPr>
        <w:tc>
          <w:tcPr>
            <w:tcW w:w="2127" w:type="dxa"/>
            <w:shd w:val="clear" w:color="auto" w:fill="auto"/>
            <w:noWrap/>
            <w:vAlign w:val="center"/>
            <w:hideMark/>
          </w:tcPr>
          <w:p w14:paraId="380F8288" w14:textId="77777777" w:rsidR="000F5381" w:rsidRPr="007E7A90" w:rsidRDefault="000F5381" w:rsidP="009467EC">
            <w:pPr>
              <w:spacing w:after="0" w:line="276" w:lineRule="auto"/>
              <w:jc w:val="right"/>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Trade Associations</w:t>
            </w:r>
          </w:p>
        </w:tc>
        <w:tc>
          <w:tcPr>
            <w:tcW w:w="515" w:type="dxa"/>
            <w:shd w:val="clear" w:color="auto" w:fill="auto"/>
            <w:noWrap/>
            <w:vAlign w:val="center"/>
            <w:hideMark/>
          </w:tcPr>
          <w:p w14:paraId="460F62D0" w14:textId="77777777" w:rsidR="000F5381" w:rsidRPr="007E7A90" w:rsidRDefault="000F5381" w:rsidP="009467EC">
            <w:pPr>
              <w:spacing w:after="0" w:line="276" w:lineRule="auto"/>
              <w:jc w:val="center"/>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574EA35F" w14:textId="77777777" w:rsidR="000F5381" w:rsidRPr="007E7A90" w:rsidRDefault="000F5381" w:rsidP="009467EC">
            <w:pPr>
              <w:spacing w:after="0" w:line="276" w:lineRule="auto"/>
              <w:jc w:val="center"/>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1</w:t>
            </w:r>
          </w:p>
        </w:tc>
      </w:tr>
      <w:tr w:rsidR="000F5381" w:rsidRPr="007E7A90" w14:paraId="36820759" w14:textId="77777777" w:rsidTr="000F5381">
        <w:trPr>
          <w:trHeight w:val="288"/>
        </w:trPr>
        <w:tc>
          <w:tcPr>
            <w:tcW w:w="2127" w:type="dxa"/>
            <w:shd w:val="clear" w:color="auto" w:fill="auto"/>
            <w:noWrap/>
            <w:vAlign w:val="center"/>
            <w:hideMark/>
          </w:tcPr>
          <w:p w14:paraId="31593916" w14:textId="77777777" w:rsidR="000F5381" w:rsidRPr="007E7A90" w:rsidRDefault="000F5381" w:rsidP="009467EC">
            <w:pPr>
              <w:spacing w:after="0" w:line="276" w:lineRule="auto"/>
              <w:jc w:val="right"/>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DSB Users</w:t>
            </w:r>
          </w:p>
        </w:tc>
        <w:tc>
          <w:tcPr>
            <w:tcW w:w="515" w:type="dxa"/>
            <w:shd w:val="clear" w:color="auto" w:fill="auto"/>
            <w:noWrap/>
            <w:vAlign w:val="center"/>
            <w:hideMark/>
          </w:tcPr>
          <w:p w14:paraId="46EFD92F" w14:textId="77777777" w:rsidR="000F5381" w:rsidRPr="007E7A90" w:rsidRDefault="000F5381" w:rsidP="009467EC">
            <w:pPr>
              <w:spacing w:after="0" w:line="276" w:lineRule="auto"/>
              <w:jc w:val="center"/>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7A6BB1E5" w14:textId="77777777" w:rsidR="000F5381" w:rsidRPr="007E7A90" w:rsidRDefault="000F5381" w:rsidP="009467EC">
            <w:pPr>
              <w:spacing w:after="0" w:line="276" w:lineRule="auto"/>
              <w:jc w:val="center"/>
              <w:rPr>
                <w:rFonts w:ascii="Calibri" w:eastAsia="Times New Roman" w:hAnsi="Calibri" w:cs="Calibri"/>
                <w:color w:val="000000"/>
                <w:sz w:val="21"/>
                <w:szCs w:val="21"/>
                <w:lang w:eastAsia="en-GB"/>
              </w:rPr>
            </w:pPr>
            <w:r w:rsidRPr="007E7A90">
              <w:rPr>
                <w:rFonts w:ascii="Calibri" w:eastAsia="Times New Roman" w:hAnsi="Calibri" w:cs="Calibri"/>
                <w:color w:val="000000"/>
                <w:sz w:val="21"/>
                <w:szCs w:val="21"/>
                <w:lang w:eastAsia="en-GB"/>
              </w:rPr>
              <w:t>3</w:t>
            </w:r>
          </w:p>
        </w:tc>
      </w:tr>
    </w:tbl>
    <w:p w14:paraId="3E321AD3" w14:textId="1F57C06D" w:rsidR="000F5381" w:rsidRDefault="000F5381" w:rsidP="000F5381">
      <w:pPr>
        <w:spacing w:before="240" w:after="120" w:line="276" w:lineRule="auto"/>
      </w:pPr>
      <w:r>
        <w:t xml:space="preserve">Out of the few users that provided a response, the majority did not see a need for the current proprietary index submission and availability processes to be enhanced in order to make the indices available to users in a more responsive manner. </w:t>
      </w:r>
    </w:p>
    <w:p w14:paraId="420C0929" w14:textId="7AC8C0ED" w:rsidR="00936416" w:rsidRDefault="00936416" w:rsidP="0058497E">
      <w:pPr>
        <w:spacing w:before="240"/>
        <w:rPr>
          <w:u w:val="single"/>
        </w:rPr>
      </w:pPr>
      <w:r>
        <w:rPr>
          <w:u w:val="single"/>
        </w:rPr>
        <w:t>Analysis of Responses</w:t>
      </w:r>
    </w:p>
    <w:p w14:paraId="0AD1E531" w14:textId="1AB32F35" w:rsidR="000F5381" w:rsidRPr="00763325" w:rsidRDefault="00404C46" w:rsidP="000F5381">
      <w:r>
        <w:t xml:space="preserve">The combination of low number of respondents and majority negative responses leads the DSB to believe </w:t>
      </w:r>
      <w:r w:rsidR="000F5381">
        <w:t>there is little industry interest in reducing the associated SLA.</w:t>
      </w:r>
    </w:p>
    <w:p w14:paraId="62C83FB0" w14:textId="392786A2" w:rsidR="00936416" w:rsidRDefault="00936416" w:rsidP="00F77EC3">
      <w:pPr>
        <w:spacing w:before="240"/>
        <w:rPr>
          <w:u w:val="single"/>
        </w:rPr>
      </w:pPr>
      <w:r>
        <w:rPr>
          <w:u w:val="single"/>
        </w:rPr>
        <w:t>DSB Proposed Next Steps</w:t>
      </w:r>
    </w:p>
    <w:p w14:paraId="75BE3139" w14:textId="5664ADB8" w:rsidR="000F5381" w:rsidRDefault="000F5381" w:rsidP="00936416">
      <w:pPr>
        <w:rPr>
          <w:u w:val="single"/>
        </w:rPr>
      </w:pPr>
      <w:r>
        <w:t>N</w:t>
      </w:r>
      <w:r w:rsidRPr="00D72A08">
        <w:t>o further action to be taken</w:t>
      </w:r>
      <w:r>
        <w:t xml:space="preserve">. </w:t>
      </w:r>
    </w:p>
    <w:p w14:paraId="0F3D19B8" w14:textId="6F693F29" w:rsidR="002A2AD7" w:rsidRDefault="005E21BB" w:rsidP="002A2AD7">
      <w:pPr>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601920" behindDoc="1" locked="0" layoutInCell="1" allowOverlap="1" wp14:anchorId="2ADC8353" wp14:editId="0E8A6A2F">
                <wp:simplePos x="0" y="0"/>
                <wp:positionH relativeFrom="margin">
                  <wp:posOffset>-2540</wp:posOffset>
                </wp:positionH>
                <wp:positionV relativeFrom="paragraph">
                  <wp:posOffset>253365</wp:posOffset>
                </wp:positionV>
                <wp:extent cx="5716905" cy="1404620"/>
                <wp:effectExtent l="0" t="0" r="17145" b="27305"/>
                <wp:wrapTight wrapText="bothSides">
                  <wp:wrapPolygon edited="0">
                    <wp:start x="0" y="0"/>
                    <wp:lineTo x="0" y="21940"/>
                    <wp:lineTo x="21593" y="21940"/>
                    <wp:lineTo x="21593"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2E97586" w14:textId="1D7B443B" w:rsidR="00D52BA4" w:rsidRDefault="00D52BA4" w:rsidP="00936416">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8</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0F5381">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keep unchanged the SLA for proprietary index submissions</w:t>
                            </w:r>
                            <w:r w:rsidRPr="000F5381">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DC8353" id="Text Box 24" o:spid="_x0000_s1042" type="#_x0000_t202" style="position:absolute;margin-left:-.2pt;margin-top:19.95pt;width:450.1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">
                <v:textbox style="mso-fit-shape-to-text:t">
                  <w:txbxContent>
                    <w:p w14:paraId="32E97586" w14:textId="1D7B443B" w:rsidR="00D52BA4" w:rsidRDefault="00D52BA4" w:rsidP="00936416">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8</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0F5381">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keep unchanged the SLA for proprietary index submissions</w:t>
                      </w:r>
                      <w:r w:rsidRPr="000F5381">
                        <w:rPr>
                          <w:rStyle w:val="eop"/>
                          <w:rFonts w:ascii="Calibri" w:eastAsiaTheme="majorEastAsia" w:hAnsi="Calibri" w:cs="Calibri"/>
                          <w:sz w:val="22"/>
                          <w:szCs w:val="22"/>
                        </w:rPr>
                        <w:t>?</w:t>
                      </w:r>
                    </w:p>
                  </w:txbxContent>
                </v:textbox>
                <w10:wrap type="tight" anchorx="margin"/>
              </v:shape>
            </w:pict>
          </mc:Fallback>
        </mc:AlternateContent>
      </w:r>
    </w:p>
    <w:p w14:paraId="4D481879" w14:textId="77777777" w:rsidR="00495B44" w:rsidRDefault="00495B44">
      <w:pPr>
        <w:rPr>
          <w:rFonts w:asciiTheme="majorHAnsi" w:eastAsiaTheme="majorEastAsia" w:hAnsiTheme="majorHAnsi" w:cstheme="majorBidi"/>
          <w:color w:val="1F4D78" w:themeColor="accent1" w:themeShade="7F"/>
          <w:sz w:val="24"/>
          <w:szCs w:val="24"/>
        </w:rPr>
      </w:pPr>
      <w:r>
        <w:br w:type="page"/>
      </w:r>
    </w:p>
    <w:bookmarkStart w:id="64" w:name="_Ref13072060"/>
    <w:bookmarkStart w:id="65" w:name="_Toc13087138"/>
    <w:bookmarkStart w:id="66" w:name="_Toc13157225"/>
    <w:p w14:paraId="36106B81" w14:textId="622007D1" w:rsidR="002A2AD7" w:rsidRDefault="004F64A7" w:rsidP="002A2AD7">
      <w:pPr>
        <w:pStyle w:val="Heading3"/>
      </w:pPr>
      <w:r>
        <w:rPr>
          <w:noProof/>
          <w:lang w:eastAsia="en-GB"/>
        </w:rPr>
        <w:lastRenderedPageBreak/>
        <mc:AlternateContent>
          <mc:Choice Requires="wps">
            <w:drawing>
              <wp:anchor distT="45720" distB="45720" distL="114300" distR="114300" simplePos="0" relativeHeight="251616256" behindDoc="0" locked="0" layoutInCell="1" allowOverlap="1" wp14:anchorId="33629259" wp14:editId="6F1833E2">
                <wp:simplePos x="0" y="0"/>
                <wp:positionH relativeFrom="margin">
                  <wp:align>right</wp:align>
                </wp:positionH>
                <wp:positionV relativeFrom="paragraph">
                  <wp:posOffset>317390</wp:posOffset>
                </wp:positionV>
                <wp:extent cx="5716905" cy="1404620"/>
                <wp:effectExtent l="0" t="0" r="17145"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D2238DB" w14:textId="692093FC" w:rsidR="00D52BA4" w:rsidRDefault="00D52BA4" w:rsidP="00F77EC3">
                            <w:pPr>
                              <w:pStyle w:val="paragraph"/>
                              <w:textAlignment w:val="baseline"/>
                            </w:pPr>
                            <w:r>
                              <w:rPr>
                                <w:rStyle w:val="normaltextrun"/>
                                <w:rFonts w:ascii="Calibri" w:hAnsi="Calibri" w:cs="Calibri"/>
                                <w:b/>
                                <w:bCs/>
                                <w:color w:val="000000"/>
                              </w:rPr>
                              <w:t xml:space="preserve">CP1 Question: </w:t>
                            </w:r>
                            <w:r>
                              <w:rPr>
                                <w:rFonts w:ascii="Calibri" w:hAnsi="Calibri" w:cs="Calibri"/>
                                <w:sz w:val="22"/>
                                <w:szCs w:val="22"/>
                              </w:rPr>
                              <w:t>Do</w:t>
                            </w:r>
                            <w:r w:rsidRPr="000863C6">
                              <w:rPr>
                                <w:rFonts w:ascii="Calibri" w:hAnsi="Calibri" w:cs="Calibri"/>
                                <w:sz w:val="22"/>
                                <w:szCs w:val="22"/>
                              </w:rPr>
                              <w:t xml:space="preserve"> you want the DSB to investigate the provision of an automated user submission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29259" id="_x0000_s1043" type="#_x0000_t202" style="position:absolute;left:0;text-align:left;margin-left:398.95pt;margin-top:25pt;width:450.15pt;height:110.6pt;z-index:251616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">
                <v:textbox style="mso-fit-shape-to-text:t">
                  <w:txbxContent>
                    <w:p w14:paraId="3D2238DB" w14:textId="692093FC" w:rsidR="00D52BA4" w:rsidRDefault="00D52BA4" w:rsidP="00F77EC3">
                      <w:pPr>
                        <w:pStyle w:val="paragraph"/>
                        <w:textAlignment w:val="baseline"/>
                      </w:pPr>
                      <w:r>
                        <w:rPr>
                          <w:rStyle w:val="normaltextrun"/>
                          <w:rFonts w:ascii="Calibri" w:hAnsi="Calibri" w:cs="Calibri"/>
                          <w:b/>
                          <w:bCs/>
                          <w:color w:val="000000"/>
                        </w:rPr>
                        <w:t xml:space="preserve">CP1 Question: </w:t>
                      </w:r>
                      <w:r>
                        <w:rPr>
                          <w:rFonts w:ascii="Calibri" w:hAnsi="Calibri" w:cs="Calibri"/>
                          <w:sz w:val="22"/>
                          <w:szCs w:val="22"/>
                        </w:rPr>
                        <w:t>Do</w:t>
                      </w:r>
                      <w:r w:rsidRPr="000863C6">
                        <w:rPr>
                          <w:rFonts w:ascii="Calibri" w:hAnsi="Calibri" w:cs="Calibri"/>
                          <w:sz w:val="22"/>
                          <w:szCs w:val="22"/>
                        </w:rPr>
                        <w:t xml:space="preserve"> you want the DSB to investigate the provision of an automated user submission process?  </w:t>
                      </w:r>
                    </w:p>
                  </w:txbxContent>
                </v:textbox>
                <w10:wrap type="square" anchorx="margin"/>
              </v:shape>
            </w:pict>
          </mc:Fallback>
        </mc:AlternateContent>
      </w:r>
      <w:r w:rsidR="002A2AD7">
        <w:t>Q2.</w:t>
      </w:r>
      <w:r>
        <w:t>1(e)</w:t>
      </w:r>
      <w:r w:rsidR="002A2AD7">
        <w:t xml:space="preserve"> – </w:t>
      </w:r>
      <w:r w:rsidR="00FF5F36">
        <w:t>AUTOMATED USER SUBMISSION PROCESS</w:t>
      </w:r>
      <w:bookmarkEnd w:id="64"/>
      <w:bookmarkEnd w:id="65"/>
      <w:bookmarkEnd w:id="66"/>
    </w:p>
    <w:p w14:paraId="2EF90E87" w14:textId="24412ECB" w:rsidR="002A2AD7" w:rsidRDefault="002A2AD7" w:rsidP="008D3CEB">
      <w:pPr>
        <w:spacing w:before="240"/>
        <w:rPr>
          <w:u w:val="single"/>
        </w:rPr>
      </w:pPr>
      <w:r>
        <w:rPr>
          <w:u w:val="single"/>
        </w:rPr>
        <w:t>Industry Responses</w:t>
      </w:r>
    </w:p>
    <w:p w14:paraId="245E9B38" w14:textId="6726D792" w:rsidR="003F75AE" w:rsidRDefault="003F75AE" w:rsidP="00F77EC3">
      <w:pPr>
        <w:spacing w:before="60" w:after="120" w:line="276" w:lineRule="auto"/>
      </w:pPr>
      <w:r>
        <w:t xml:space="preserve">Only 2 responses were received to the question posed in the first consultation, as set out below: </w:t>
      </w:r>
      <w:r w:rsidR="004F64A7">
        <w:t xml:space="preserve"> </w:t>
      </w:r>
    </w:p>
    <w:tbl>
      <w:tblPr>
        <w:tblW w:w="3728"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416"/>
        <w:gridCol w:w="656"/>
        <w:gridCol w:w="656"/>
      </w:tblGrid>
      <w:tr w:rsidR="003F75AE" w:rsidRPr="003F75AE" w14:paraId="06B585B0" w14:textId="77777777" w:rsidTr="00DA7FD4">
        <w:trPr>
          <w:trHeight w:val="288"/>
        </w:trPr>
        <w:tc>
          <w:tcPr>
            <w:tcW w:w="2416" w:type="dxa"/>
            <w:vMerge w:val="restart"/>
            <w:shd w:val="clear" w:color="auto" w:fill="auto"/>
            <w:noWrap/>
            <w:vAlign w:val="center"/>
            <w:hideMark/>
          </w:tcPr>
          <w:p w14:paraId="5C75816B" w14:textId="77777777" w:rsidR="003F75AE" w:rsidRPr="003F75AE" w:rsidRDefault="003F75AE" w:rsidP="003F75AE">
            <w:pPr>
              <w:spacing w:after="0" w:line="240"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22F2CA0D" w14:textId="77777777" w:rsidR="003F75AE" w:rsidRPr="003F75AE" w:rsidRDefault="003F75AE" w:rsidP="003F75AE">
            <w:pPr>
              <w:spacing w:after="0" w:line="240" w:lineRule="auto"/>
              <w:jc w:val="center"/>
              <w:rPr>
                <w:rFonts w:ascii="Calibri" w:eastAsia="Times New Roman" w:hAnsi="Calibri" w:cs="Calibri"/>
                <w:b/>
                <w:bCs/>
                <w:color w:val="000000"/>
                <w:sz w:val="21"/>
                <w:szCs w:val="21"/>
                <w:lang w:eastAsia="en-GB"/>
              </w:rPr>
            </w:pPr>
            <w:r w:rsidRPr="003F75AE">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573E28F1" w14:textId="77777777" w:rsidR="003F75AE" w:rsidRPr="003F75AE" w:rsidRDefault="003F75AE" w:rsidP="003F75AE">
            <w:pPr>
              <w:spacing w:after="0" w:line="240" w:lineRule="auto"/>
              <w:jc w:val="center"/>
              <w:rPr>
                <w:rFonts w:ascii="Calibri" w:eastAsia="Times New Roman" w:hAnsi="Calibri" w:cs="Calibri"/>
                <w:b/>
                <w:bCs/>
                <w:color w:val="000000"/>
                <w:sz w:val="21"/>
                <w:szCs w:val="21"/>
                <w:lang w:eastAsia="en-GB"/>
              </w:rPr>
            </w:pPr>
            <w:r w:rsidRPr="003F75AE">
              <w:rPr>
                <w:rFonts w:ascii="Calibri" w:eastAsia="Times New Roman" w:hAnsi="Calibri" w:cs="Calibri"/>
                <w:b/>
                <w:bCs/>
                <w:color w:val="000000"/>
                <w:sz w:val="21"/>
                <w:szCs w:val="21"/>
                <w:lang w:eastAsia="en-GB"/>
              </w:rPr>
              <w:t>No</w:t>
            </w:r>
          </w:p>
        </w:tc>
      </w:tr>
      <w:tr w:rsidR="003F75AE" w:rsidRPr="003F75AE" w14:paraId="4C0C1634" w14:textId="77777777" w:rsidTr="00DA7FD4">
        <w:trPr>
          <w:trHeight w:val="288"/>
        </w:trPr>
        <w:tc>
          <w:tcPr>
            <w:tcW w:w="2416" w:type="dxa"/>
            <w:vMerge/>
            <w:vAlign w:val="center"/>
            <w:hideMark/>
          </w:tcPr>
          <w:p w14:paraId="7CD66622" w14:textId="77777777" w:rsidR="003F75AE" w:rsidRPr="003F75AE" w:rsidRDefault="003F75AE" w:rsidP="003F75AE">
            <w:pPr>
              <w:spacing w:after="0" w:line="240" w:lineRule="auto"/>
              <w:rPr>
                <w:rFonts w:ascii="Times New Roman" w:eastAsia="Times New Roman" w:hAnsi="Times New Roman" w:cs="Times New Roman"/>
                <w:sz w:val="24"/>
                <w:szCs w:val="24"/>
                <w:lang w:eastAsia="en-GB"/>
              </w:rPr>
            </w:pPr>
          </w:p>
        </w:tc>
        <w:tc>
          <w:tcPr>
            <w:tcW w:w="656" w:type="dxa"/>
            <w:shd w:val="clear" w:color="000000" w:fill="F6E984"/>
            <w:noWrap/>
            <w:vAlign w:val="center"/>
            <w:hideMark/>
          </w:tcPr>
          <w:p w14:paraId="48192534" w14:textId="77777777" w:rsidR="003F75AE" w:rsidRPr="003F75AE" w:rsidRDefault="003F75AE" w:rsidP="003F75AE">
            <w:pPr>
              <w:spacing w:after="0" w:line="240" w:lineRule="auto"/>
              <w:jc w:val="center"/>
              <w:rPr>
                <w:rFonts w:ascii="Calibri" w:eastAsia="Times New Roman" w:hAnsi="Calibri" w:cs="Calibri"/>
                <w:b/>
                <w:bCs/>
                <w:color w:val="000000"/>
                <w:sz w:val="21"/>
                <w:szCs w:val="21"/>
                <w:lang w:eastAsia="en-GB"/>
              </w:rPr>
            </w:pPr>
            <w:r w:rsidRPr="003F75AE">
              <w:rPr>
                <w:rFonts w:ascii="Calibri" w:eastAsia="Times New Roman" w:hAnsi="Calibri" w:cs="Calibri"/>
                <w:b/>
                <w:bCs/>
                <w:color w:val="000000"/>
                <w:sz w:val="21"/>
                <w:szCs w:val="21"/>
                <w:lang w:eastAsia="en-GB"/>
              </w:rPr>
              <w:t>2</w:t>
            </w:r>
          </w:p>
        </w:tc>
        <w:tc>
          <w:tcPr>
            <w:tcW w:w="656" w:type="dxa"/>
            <w:shd w:val="clear" w:color="000000" w:fill="F8696B"/>
            <w:noWrap/>
            <w:vAlign w:val="center"/>
            <w:hideMark/>
          </w:tcPr>
          <w:p w14:paraId="07B529AA" w14:textId="77777777" w:rsidR="003F75AE" w:rsidRPr="003F75AE" w:rsidRDefault="003F75AE" w:rsidP="003F75AE">
            <w:pPr>
              <w:spacing w:after="0" w:line="240" w:lineRule="auto"/>
              <w:jc w:val="center"/>
              <w:rPr>
                <w:rFonts w:ascii="Calibri" w:eastAsia="Times New Roman" w:hAnsi="Calibri" w:cs="Calibri"/>
                <w:b/>
                <w:bCs/>
                <w:color w:val="000000"/>
                <w:sz w:val="21"/>
                <w:szCs w:val="21"/>
                <w:lang w:eastAsia="en-GB"/>
              </w:rPr>
            </w:pPr>
            <w:r w:rsidRPr="003F75AE">
              <w:rPr>
                <w:rFonts w:ascii="Calibri" w:eastAsia="Times New Roman" w:hAnsi="Calibri" w:cs="Calibri"/>
                <w:b/>
                <w:bCs/>
                <w:color w:val="000000"/>
                <w:sz w:val="21"/>
                <w:szCs w:val="21"/>
                <w:lang w:eastAsia="en-GB"/>
              </w:rPr>
              <w:t>0</w:t>
            </w:r>
          </w:p>
        </w:tc>
      </w:tr>
      <w:tr w:rsidR="003F75AE" w:rsidRPr="003F75AE" w14:paraId="7651EC3C" w14:textId="77777777" w:rsidTr="00F77EC3">
        <w:trPr>
          <w:trHeight w:val="288"/>
        </w:trPr>
        <w:tc>
          <w:tcPr>
            <w:tcW w:w="2416" w:type="dxa"/>
            <w:shd w:val="clear" w:color="auto" w:fill="auto"/>
            <w:noWrap/>
            <w:vAlign w:val="center"/>
            <w:hideMark/>
          </w:tcPr>
          <w:p w14:paraId="06BCB29E" w14:textId="77777777" w:rsidR="003F75AE" w:rsidRPr="003F75AE" w:rsidRDefault="003F75AE" w:rsidP="003F75AE">
            <w:pPr>
              <w:spacing w:after="0" w:line="240" w:lineRule="auto"/>
              <w:jc w:val="right"/>
              <w:rPr>
                <w:rFonts w:ascii="Calibri" w:eastAsia="Times New Roman" w:hAnsi="Calibri" w:cs="Calibri"/>
                <w:color w:val="000000"/>
                <w:sz w:val="21"/>
                <w:szCs w:val="21"/>
                <w:lang w:eastAsia="en-GB"/>
              </w:rPr>
            </w:pPr>
            <w:r w:rsidRPr="003F75AE">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101D1631" w14:textId="77777777" w:rsidR="003F75AE" w:rsidRPr="003F75AE" w:rsidRDefault="003F75AE" w:rsidP="003F75AE">
            <w:pPr>
              <w:spacing w:after="0" w:line="240" w:lineRule="auto"/>
              <w:jc w:val="center"/>
              <w:rPr>
                <w:rFonts w:ascii="Calibri" w:eastAsia="Times New Roman" w:hAnsi="Calibri" w:cs="Calibri"/>
                <w:color w:val="FFFFFF"/>
                <w:sz w:val="21"/>
                <w:szCs w:val="21"/>
                <w:lang w:eastAsia="en-GB"/>
              </w:rPr>
            </w:pPr>
            <w:r w:rsidRPr="003F75AE">
              <w:rPr>
                <w:rFonts w:ascii="Calibri" w:eastAsia="Times New Roman" w:hAnsi="Calibri" w:cs="Calibri"/>
                <w:color w:val="FFFFFF"/>
                <w:sz w:val="21"/>
                <w:szCs w:val="21"/>
                <w:lang w:eastAsia="en-GB"/>
              </w:rPr>
              <w:t>0</w:t>
            </w:r>
          </w:p>
        </w:tc>
        <w:tc>
          <w:tcPr>
            <w:tcW w:w="656" w:type="dxa"/>
            <w:shd w:val="clear" w:color="auto" w:fill="auto"/>
            <w:noWrap/>
            <w:vAlign w:val="center"/>
            <w:hideMark/>
          </w:tcPr>
          <w:p w14:paraId="46E91185" w14:textId="77777777" w:rsidR="003F75AE" w:rsidRPr="003F75AE" w:rsidRDefault="003F75AE" w:rsidP="003F75AE">
            <w:pPr>
              <w:spacing w:after="0" w:line="240" w:lineRule="auto"/>
              <w:jc w:val="center"/>
              <w:rPr>
                <w:rFonts w:ascii="Calibri" w:eastAsia="Times New Roman" w:hAnsi="Calibri" w:cs="Calibri"/>
                <w:color w:val="FFFFFF"/>
                <w:sz w:val="21"/>
                <w:szCs w:val="21"/>
                <w:lang w:eastAsia="en-GB"/>
              </w:rPr>
            </w:pPr>
            <w:r w:rsidRPr="003F75AE">
              <w:rPr>
                <w:rFonts w:ascii="Calibri" w:eastAsia="Times New Roman" w:hAnsi="Calibri" w:cs="Calibri"/>
                <w:color w:val="FFFFFF"/>
                <w:sz w:val="21"/>
                <w:szCs w:val="21"/>
                <w:lang w:eastAsia="en-GB"/>
              </w:rPr>
              <w:t>0</w:t>
            </w:r>
          </w:p>
        </w:tc>
      </w:tr>
      <w:tr w:rsidR="003F75AE" w:rsidRPr="003F75AE" w14:paraId="0562D957" w14:textId="77777777" w:rsidTr="00F77EC3">
        <w:trPr>
          <w:trHeight w:val="288"/>
        </w:trPr>
        <w:tc>
          <w:tcPr>
            <w:tcW w:w="2416" w:type="dxa"/>
            <w:shd w:val="clear" w:color="auto" w:fill="auto"/>
            <w:noWrap/>
            <w:vAlign w:val="center"/>
            <w:hideMark/>
          </w:tcPr>
          <w:p w14:paraId="3FE0C098" w14:textId="77777777" w:rsidR="003F75AE" w:rsidRPr="003F75AE" w:rsidRDefault="003F75AE" w:rsidP="003F75AE">
            <w:pPr>
              <w:spacing w:after="0" w:line="240" w:lineRule="auto"/>
              <w:jc w:val="right"/>
              <w:rPr>
                <w:rFonts w:ascii="Calibri" w:eastAsia="Times New Roman" w:hAnsi="Calibri" w:cs="Calibri"/>
                <w:color w:val="000000"/>
                <w:sz w:val="21"/>
                <w:szCs w:val="21"/>
                <w:lang w:eastAsia="en-GB"/>
              </w:rPr>
            </w:pPr>
            <w:r w:rsidRPr="003F75AE">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2C49585E" w14:textId="77777777" w:rsidR="003F75AE" w:rsidRPr="003F75AE" w:rsidRDefault="003F75AE" w:rsidP="003F75AE">
            <w:pPr>
              <w:spacing w:after="0" w:line="240" w:lineRule="auto"/>
              <w:jc w:val="center"/>
              <w:rPr>
                <w:rFonts w:ascii="Calibri" w:eastAsia="Times New Roman" w:hAnsi="Calibri" w:cs="Calibri"/>
                <w:color w:val="000000"/>
                <w:sz w:val="21"/>
                <w:szCs w:val="21"/>
                <w:lang w:eastAsia="en-GB"/>
              </w:rPr>
            </w:pPr>
            <w:r w:rsidRPr="003F75AE">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14CFDD20" w14:textId="77777777" w:rsidR="003F75AE" w:rsidRPr="003F75AE" w:rsidRDefault="003F75AE" w:rsidP="003F75AE">
            <w:pPr>
              <w:spacing w:after="0" w:line="240" w:lineRule="auto"/>
              <w:jc w:val="center"/>
              <w:rPr>
                <w:rFonts w:ascii="Calibri" w:eastAsia="Times New Roman" w:hAnsi="Calibri" w:cs="Calibri"/>
                <w:color w:val="FFFFFF"/>
                <w:sz w:val="21"/>
                <w:szCs w:val="21"/>
                <w:lang w:eastAsia="en-GB"/>
              </w:rPr>
            </w:pPr>
            <w:r w:rsidRPr="003F75AE">
              <w:rPr>
                <w:rFonts w:ascii="Calibri" w:eastAsia="Times New Roman" w:hAnsi="Calibri" w:cs="Calibri"/>
                <w:color w:val="FFFFFF"/>
                <w:sz w:val="21"/>
                <w:szCs w:val="21"/>
                <w:lang w:eastAsia="en-GB"/>
              </w:rPr>
              <w:t>0</w:t>
            </w:r>
          </w:p>
        </w:tc>
      </w:tr>
    </w:tbl>
    <w:p w14:paraId="701239ED" w14:textId="527ED1C6" w:rsidR="00BF11C9" w:rsidRDefault="00BF11C9" w:rsidP="00BF11C9">
      <w:pPr>
        <w:spacing w:before="240" w:after="120" w:line="276" w:lineRule="auto"/>
      </w:pPr>
      <w:r>
        <w:t xml:space="preserve">The few users that provided a response were in favour of the </w:t>
      </w:r>
      <w:r w:rsidR="004C60BD">
        <w:t xml:space="preserve">provision of an automated user submission process. </w:t>
      </w:r>
      <w:r>
        <w:t xml:space="preserve"> </w:t>
      </w:r>
    </w:p>
    <w:p w14:paraId="23AF22A4" w14:textId="2F290A94" w:rsidR="002A2AD7" w:rsidRDefault="002A2AD7" w:rsidP="00F77EC3">
      <w:pPr>
        <w:spacing w:before="240"/>
        <w:rPr>
          <w:u w:val="single"/>
        </w:rPr>
      </w:pPr>
      <w:r>
        <w:rPr>
          <w:u w:val="single"/>
        </w:rPr>
        <w:t>Analysis of Responses</w:t>
      </w:r>
    </w:p>
    <w:p w14:paraId="7C2570BE" w14:textId="0CB08ECD" w:rsidR="00BF11C9" w:rsidRDefault="00BF11C9" w:rsidP="00BF11C9">
      <w:r>
        <w:t xml:space="preserve">The DSB notes the low number of respondents but is also mindful that the </w:t>
      </w:r>
      <w:r w:rsidR="000F318F">
        <w:t xml:space="preserve">2 </w:t>
      </w:r>
      <w:r>
        <w:t xml:space="preserve">respondents were </w:t>
      </w:r>
      <w:r w:rsidR="000F318F">
        <w:t xml:space="preserve">both </w:t>
      </w:r>
      <w:r>
        <w:t xml:space="preserve">in favour of </w:t>
      </w:r>
      <w:r w:rsidR="000F318F">
        <w:t>an automated submission process</w:t>
      </w:r>
      <w:r>
        <w:t>, given its potential to lower costs and data transcription errors.</w:t>
      </w:r>
    </w:p>
    <w:p w14:paraId="43632781" w14:textId="705C20E3" w:rsidR="00BF11C9" w:rsidRPr="00763325" w:rsidRDefault="00BF11C9" w:rsidP="00BF11C9">
      <w:r>
        <w:t xml:space="preserve">In the light of this, the DSB believes this </w:t>
      </w:r>
      <w:r w:rsidR="005B4EB7">
        <w:t>question</w:t>
      </w:r>
      <w:r>
        <w:t xml:space="preserve"> should be </w:t>
      </w:r>
      <w:r w:rsidR="00036C2B">
        <w:t xml:space="preserve">presented to the TAC for </w:t>
      </w:r>
      <w:r>
        <w:t>prioritiz</w:t>
      </w:r>
      <w:r w:rsidR="00036C2B">
        <w:t>ation</w:t>
      </w:r>
      <w:r>
        <w:t xml:space="preserve"> as part of business as usual activities, with existing TAC secretariat resources.</w:t>
      </w:r>
    </w:p>
    <w:p w14:paraId="10D0C001" w14:textId="287D16AD" w:rsidR="002A2AD7" w:rsidRDefault="002A2AD7" w:rsidP="00F77EC3">
      <w:pPr>
        <w:spacing w:before="240"/>
        <w:rPr>
          <w:u w:val="single"/>
        </w:rPr>
      </w:pPr>
      <w:r>
        <w:rPr>
          <w:u w:val="single"/>
        </w:rPr>
        <w:t>DSB Proposed Next Steps</w:t>
      </w:r>
    </w:p>
    <w:p w14:paraId="57231626" w14:textId="77777777" w:rsidR="00BF11C9" w:rsidRPr="00BB1C2A" w:rsidRDefault="00BF11C9" w:rsidP="00BF11C9">
      <w:pPr>
        <w:spacing w:before="240" w:after="240" w:line="276" w:lineRule="auto"/>
      </w:pPr>
      <w:r>
        <w:t xml:space="preserve">DSB to ask TAC to consider prioritization vs other on-going activities. </w:t>
      </w:r>
    </w:p>
    <w:p w14:paraId="4407EFCD" w14:textId="062B4058" w:rsidR="004F64A7" w:rsidRPr="00BB1C2A" w:rsidRDefault="008715F1" w:rsidP="004F64A7">
      <w:pPr>
        <w:spacing w:before="240" w:after="240" w:line="276" w:lineRule="auto"/>
      </w:pPr>
      <w:r w:rsidRPr="00BB1525">
        <w:rPr>
          <w:noProof/>
          <w:lang w:eastAsia="en-GB"/>
        </w:rPr>
        <mc:AlternateContent>
          <mc:Choice Requires="wps">
            <w:drawing>
              <wp:anchor distT="45720" distB="45720" distL="114300" distR="114300" simplePos="0" relativeHeight="251630592" behindDoc="1" locked="0" layoutInCell="1" allowOverlap="1" wp14:anchorId="60BAB49D" wp14:editId="0E8B68C1">
                <wp:simplePos x="0" y="0"/>
                <wp:positionH relativeFrom="margin">
                  <wp:posOffset>-2540</wp:posOffset>
                </wp:positionH>
                <wp:positionV relativeFrom="paragraph">
                  <wp:posOffset>305435</wp:posOffset>
                </wp:positionV>
                <wp:extent cx="5716905" cy="1404620"/>
                <wp:effectExtent l="0" t="0" r="17145" b="27305"/>
                <wp:wrapTight wrapText="bothSides">
                  <wp:wrapPolygon edited="0">
                    <wp:start x="0" y="0"/>
                    <wp:lineTo x="0" y="21940"/>
                    <wp:lineTo x="21593" y="21940"/>
                    <wp:lineTo x="21593"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B5CC7F8" w14:textId="0FF915F8" w:rsidR="00D52BA4" w:rsidRDefault="00D52BA4" w:rsidP="002A2AD7">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9</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25003A">
                              <w:rPr>
                                <w:rStyle w:val="eop"/>
                                <w:rFonts w:ascii="Calibri" w:eastAsiaTheme="majorEastAsia" w:hAnsi="Calibri" w:cs="Calibri"/>
                                <w:sz w:val="22"/>
                                <w:szCs w:val="22"/>
                              </w:rPr>
                              <w:t xml:space="preserve">Do you concur with the DSB’s proposal to </w:t>
                            </w:r>
                            <w:r>
                              <w:rPr>
                                <w:rStyle w:val="eop"/>
                                <w:rFonts w:ascii="Calibri" w:eastAsiaTheme="majorEastAsia" w:hAnsi="Calibri" w:cs="Calibri"/>
                                <w:sz w:val="22"/>
                                <w:szCs w:val="22"/>
                              </w:rPr>
                              <w:t>investigate the provision of an automated user submissions process as part of the DSB’s business as usual resourcing and prioritisation</w:t>
                            </w:r>
                            <w:r w:rsidRPr="00716426">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AB49D" id="Text Box 26" o:spid="_x0000_s1044" type="#_x0000_t202" style="position:absolute;margin-left:-.2pt;margin-top:24.05pt;width:450.1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">
                <v:textbox style="mso-fit-shape-to-text:t">
                  <w:txbxContent>
                    <w:p w14:paraId="4B5CC7F8" w14:textId="0FF915F8" w:rsidR="00D52BA4" w:rsidRDefault="00D52BA4" w:rsidP="002A2AD7">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9</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25003A">
                        <w:rPr>
                          <w:rStyle w:val="eop"/>
                          <w:rFonts w:ascii="Calibri" w:eastAsiaTheme="majorEastAsia" w:hAnsi="Calibri" w:cs="Calibri"/>
                          <w:sz w:val="22"/>
                          <w:szCs w:val="22"/>
                        </w:rPr>
                        <w:t xml:space="preserve">Do you concur with the DSB’s proposal to </w:t>
                      </w:r>
                      <w:r>
                        <w:rPr>
                          <w:rStyle w:val="eop"/>
                          <w:rFonts w:ascii="Calibri" w:eastAsiaTheme="majorEastAsia" w:hAnsi="Calibri" w:cs="Calibri"/>
                          <w:sz w:val="22"/>
                          <w:szCs w:val="22"/>
                        </w:rPr>
                        <w:t>investigate the provision of an automated user submissions process as part of the DSB’s business as usual resourcing and prioritisation</w:t>
                      </w:r>
                      <w:r w:rsidRPr="00716426">
                        <w:rPr>
                          <w:rStyle w:val="eop"/>
                          <w:rFonts w:ascii="Calibri" w:eastAsiaTheme="majorEastAsia" w:hAnsi="Calibri" w:cs="Calibri"/>
                          <w:sz w:val="22"/>
                          <w:szCs w:val="22"/>
                        </w:rPr>
                        <w:t>?</w:t>
                      </w:r>
                    </w:p>
                  </w:txbxContent>
                </v:textbox>
                <w10:wrap type="tight" anchorx="margin"/>
              </v:shape>
            </w:pict>
          </mc:Fallback>
        </mc:AlternateContent>
      </w:r>
      <w:r w:rsidR="004F64A7">
        <w:t xml:space="preserve"> </w:t>
      </w:r>
    </w:p>
    <w:p w14:paraId="4004F46E" w14:textId="77777777" w:rsidR="00E21286" w:rsidRDefault="00E21286" w:rsidP="00E21286">
      <w:pPr>
        <w:rPr>
          <w:rFonts w:ascii="Calibri" w:eastAsia="Times New Roman" w:hAnsi="Calibri" w:cs="Calibri"/>
          <w:color w:val="000000"/>
          <w:lang w:eastAsia="en-GB"/>
        </w:rPr>
      </w:pPr>
    </w:p>
    <w:p w14:paraId="7C9A2F83" w14:textId="77777777" w:rsidR="00DB02CD" w:rsidRDefault="00DB02CD">
      <w:pPr>
        <w:rPr>
          <w:rFonts w:asciiTheme="majorHAnsi" w:eastAsiaTheme="majorEastAsia" w:hAnsiTheme="majorHAnsi" w:cstheme="majorBidi"/>
          <w:color w:val="1F4D78" w:themeColor="accent1" w:themeShade="7F"/>
          <w:sz w:val="24"/>
          <w:szCs w:val="24"/>
        </w:rPr>
      </w:pPr>
      <w:r>
        <w:br w:type="page"/>
      </w:r>
    </w:p>
    <w:bookmarkStart w:id="67" w:name="_Ref13073192"/>
    <w:bookmarkStart w:id="68" w:name="_Toc13087139"/>
    <w:bookmarkStart w:id="69" w:name="_Toc13157226"/>
    <w:p w14:paraId="1921FC5A" w14:textId="0F4C4906" w:rsidR="00E21286" w:rsidRDefault="00E21286" w:rsidP="00E21286">
      <w:pPr>
        <w:pStyle w:val="Heading3"/>
      </w:pPr>
      <w:r>
        <w:rPr>
          <w:noProof/>
          <w:lang w:eastAsia="en-GB"/>
        </w:rPr>
        <w:lastRenderedPageBreak/>
        <mc:AlternateContent>
          <mc:Choice Requires="wps">
            <w:drawing>
              <wp:anchor distT="45720" distB="45720" distL="114300" distR="114300" simplePos="0" relativeHeight="251891712" behindDoc="0" locked="0" layoutInCell="1" allowOverlap="1" wp14:anchorId="74C910D4" wp14:editId="153E6D23">
                <wp:simplePos x="0" y="0"/>
                <wp:positionH relativeFrom="margin">
                  <wp:align>right</wp:align>
                </wp:positionH>
                <wp:positionV relativeFrom="paragraph">
                  <wp:posOffset>317390</wp:posOffset>
                </wp:positionV>
                <wp:extent cx="5716905" cy="1404620"/>
                <wp:effectExtent l="0" t="0" r="17145" b="2032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298B419" w14:textId="77777777" w:rsidR="00D52BA4" w:rsidRDefault="00D52BA4" w:rsidP="00E21286">
                            <w:r>
                              <w:rPr>
                                <w:rStyle w:val="normaltextrun"/>
                                <w:rFonts w:ascii="Calibri" w:hAnsi="Calibri" w:cs="Calibri"/>
                                <w:b/>
                                <w:bCs/>
                                <w:color w:val="000000"/>
                              </w:rPr>
                              <w:t xml:space="preserve">CP1 Question: </w:t>
                            </w:r>
                            <w:r w:rsidRPr="004F64A7">
                              <w:rPr>
                                <w:rStyle w:val="normaltextrun"/>
                                <w:rFonts w:ascii="Calibri" w:hAnsi="Calibri" w:cs="Calibri"/>
                                <w:bCs/>
                                <w:color w:val="000000"/>
                              </w:rPr>
                              <w:t>Do you want the DSB to investigate the automated provision of the full list of proprietary indices in a machine-readable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910D4" id="_x0000_s1045" type="#_x0000_t202" style="position:absolute;left:0;text-align:left;margin-left:398.95pt;margin-top:25pt;width:450.15pt;height:110.6pt;z-index:251891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IUKg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">
                <v:textbox style="mso-fit-shape-to-text:t">
                  <w:txbxContent>
                    <w:p w14:paraId="4298B419" w14:textId="77777777" w:rsidR="00D52BA4" w:rsidRDefault="00D52BA4" w:rsidP="00E21286">
                      <w:r>
                        <w:rPr>
                          <w:rStyle w:val="normaltextrun"/>
                          <w:rFonts w:ascii="Calibri" w:hAnsi="Calibri" w:cs="Calibri"/>
                          <w:b/>
                          <w:bCs/>
                          <w:color w:val="000000"/>
                        </w:rPr>
                        <w:t xml:space="preserve">CP1 Question: </w:t>
                      </w:r>
                      <w:r w:rsidRPr="004F64A7">
                        <w:rPr>
                          <w:rStyle w:val="normaltextrun"/>
                          <w:rFonts w:ascii="Calibri" w:hAnsi="Calibri" w:cs="Calibri"/>
                          <w:bCs/>
                          <w:color w:val="000000"/>
                        </w:rPr>
                        <w:t>Do you want the DSB to investigate the automated provision of the full list of proprietary indices in a machine-readable format?</w:t>
                      </w:r>
                    </w:p>
                  </w:txbxContent>
                </v:textbox>
                <w10:wrap type="square" anchorx="margin"/>
              </v:shape>
            </w:pict>
          </mc:Fallback>
        </mc:AlternateContent>
      </w:r>
      <w:r>
        <w:t>Q2.1(f) – MACHINE-READABLE FORMAT FOR PROPRIETARY INDICES</w:t>
      </w:r>
      <w:bookmarkEnd w:id="67"/>
      <w:bookmarkEnd w:id="68"/>
      <w:bookmarkEnd w:id="69"/>
    </w:p>
    <w:p w14:paraId="47DABABF" w14:textId="77777777" w:rsidR="00E21286" w:rsidRDefault="00E21286" w:rsidP="00F77EC3">
      <w:pPr>
        <w:spacing w:before="240"/>
        <w:rPr>
          <w:u w:val="single"/>
        </w:rPr>
      </w:pPr>
      <w:r>
        <w:rPr>
          <w:u w:val="single"/>
        </w:rPr>
        <w:t>Industry Responses</w:t>
      </w:r>
    </w:p>
    <w:p w14:paraId="2D3B181D" w14:textId="1203F7EB" w:rsidR="00E21286" w:rsidRDefault="00E21286" w:rsidP="00E21286">
      <w:pPr>
        <w:spacing w:before="60" w:after="120" w:line="276" w:lineRule="auto"/>
      </w:pPr>
      <w:r>
        <w:t xml:space="preserve">Only </w:t>
      </w:r>
      <w:r w:rsidR="006F7485">
        <w:t>2</w:t>
      </w:r>
      <w:r>
        <w:t xml:space="preserve"> responses were received to the question posed in the first consultation, as set out below:</w:t>
      </w:r>
    </w:p>
    <w:tbl>
      <w:tblPr>
        <w:tblW w:w="3298"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E21286" w:rsidRPr="006D125B" w14:paraId="375D8284" w14:textId="77777777" w:rsidTr="00C47967">
        <w:trPr>
          <w:trHeight w:val="288"/>
        </w:trPr>
        <w:tc>
          <w:tcPr>
            <w:tcW w:w="2127" w:type="dxa"/>
            <w:vMerge w:val="restart"/>
            <w:shd w:val="clear" w:color="auto" w:fill="auto"/>
            <w:noWrap/>
            <w:vAlign w:val="center"/>
            <w:hideMark/>
          </w:tcPr>
          <w:p w14:paraId="4F18EB7F" w14:textId="77777777" w:rsidR="00E21286" w:rsidRPr="006D125B" w:rsidRDefault="00E21286" w:rsidP="00C47967">
            <w:pPr>
              <w:spacing w:after="0" w:line="276"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0A0F549C" w14:textId="77777777" w:rsidR="00E21286" w:rsidRPr="006D125B" w:rsidRDefault="00E21286" w:rsidP="00C47967">
            <w:pPr>
              <w:spacing w:after="0" w:line="276" w:lineRule="auto"/>
              <w:jc w:val="center"/>
              <w:rPr>
                <w:rFonts w:ascii="Calibri" w:eastAsia="Times New Roman" w:hAnsi="Calibri" w:cs="Calibri"/>
                <w:b/>
                <w:bCs/>
                <w:color w:val="000000"/>
                <w:sz w:val="21"/>
                <w:szCs w:val="21"/>
                <w:lang w:eastAsia="en-GB"/>
              </w:rPr>
            </w:pPr>
            <w:r w:rsidRPr="006D125B">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092DA69D" w14:textId="77777777" w:rsidR="00E21286" w:rsidRPr="006D125B" w:rsidRDefault="00E21286" w:rsidP="00C47967">
            <w:pPr>
              <w:spacing w:after="0" w:line="276" w:lineRule="auto"/>
              <w:jc w:val="center"/>
              <w:rPr>
                <w:rFonts w:ascii="Calibri" w:eastAsia="Times New Roman" w:hAnsi="Calibri" w:cs="Calibri"/>
                <w:b/>
                <w:bCs/>
                <w:color w:val="000000"/>
                <w:sz w:val="21"/>
                <w:szCs w:val="21"/>
                <w:lang w:eastAsia="en-GB"/>
              </w:rPr>
            </w:pPr>
            <w:r w:rsidRPr="006D125B">
              <w:rPr>
                <w:rFonts w:ascii="Calibri" w:eastAsia="Times New Roman" w:hAnsi="Calibri" w:cs="Calibri"/>
                <w:b/>
                <w:bCs/>
                <w:color w:val="000000"/>
                <w:sz w:val="21"/>
                <w:szCs w:val="21"/>
                <w:lang w:eastAsia="en-GB"/>
              </w:rPr>
              <w:t>No</w:t>
            </w:r>
          </w:p>
        </w:tc>
      </w:tr>
      <w:tr w:rsidR="00E21286" w:rsidRPr="006D125B" w14:paraId="7D3A2920" w14:textId="77777777" w:rsidTr="00C47967">
        <w:trPr>
          <w:trHeight w:val="288"/>
        </w:trPr>
        <w:tc>
          <w:tcPr>
            <w:tcW w:w="2127" w:type="dxa"/>
            <w:vMerge/>
            <w:vAlign w:val="center"/>
            <w:hideMark/>
          </w:tcPr>
          <w:p w14:paraId="1964E59C" w14:textId="77777777" w:rsidR="00E21286" w:rsidRPr="006D125B" w:rsidRDefault="00E21286" w:rsidP="00C47967">
            <w:pPr>
              <w:spacing w:after="0" w:line="276" w:lineRule="auto"/>
              <w:rPr>
                <w:rFonts w:ascii="Times New Roman" w:eastAsia="Times New Roman" w:hAnsi="Times New Roman" w:cs="Times New Roman"/>
                <w:sz w:val="24"/>
                <w:szCs w:val="24"/>
                <w:lang w:eastAsia="en-GB"/>
              </w:rPr>
            </w:pPr>
          </w:p>
        </w:tc>
        <w:tc>
          <w:tcPr>
            <w:tcW w:w="515" w:type="dxa"/>
            <w:shd w:val="clear" w:color="000000" w:fill="F0E784"/>
            <w:noWrap/>
            <w:vAlign w:val="center"/>
            <w:hideMark/>
          </w:tcPr>
          <w:p w14:paraId="4EC95B7A" w14:textId="3D4A9C2E" w:rsidR="00E21286" w:rsidRPr="006D125B" w:rsidRDefault="006F7485" w:rsidP="00C47967">
            <w:pPr>
              <w:spacing w:after="0" w:line="276" w:lineRule="auto"/>
              <w:jc w:val="center"/>
              <w:rPr>
                <w:rFonts w:ascii="Calibri" w:eastAsia="Times New Roman" w:hAnsi="Calibri" w:cs="Calibri"/>
                <w:b/>
                <w:bCs/>
                <w:color w:val="000000"/>
                <w:sz w:val="21"/>
                <w:szCs w:val="21"/>
                <w:lang w:eastAsia="en-GB"/>
              </w:rPr>
            </w:pPr>
            <w:r>
              <w:rPr>
                <w:rFonts w:ascii="Calibri" w:eastAsia="Times New Roman" w:hAnsi="Calibri" w:cs="Calibri"/>
                <w:b/>
                <w:bCs/>
                <w:color w:val="000000"/>
                <w:sz w:val="21"/>
                <w:szCs w:val="21"/>
                <w:lang w:eastAsia="en-GB"/>
              </w:rPr>
              <w:t>2</w:t>
            </w:r>
          </w:p>
        </w:tc>
        <w:tc>
          <w:tcPr>
            <w:tcW w:w="656" w:type="dxa"/>
            <w:shd w:val="clear" w:color="000000" w:fill="F8696B"/>
            <w:noWrap/>
            <w:vAlign w:val="center"/>
            <w:hideMark/>
          </w:tcPr>
          <w:p w14:paraId="1DC72DF1" w14:textId="77777777" w:rsidR="00E21286" w:rsidRPr="006D125B" w:rsidRDefault="00E21286" w:rsidP="00C47967">
            <w:pPr>
              <w:spacing w:after="0" w:line="276" w:lineRule="auto"/>
              <w:jc w:val="center"/>
              <w:rPr>
                <w:rFonts w:ascii="Calibri" w:eastAsia="Times New Roman" w:hAnsi="Calibri" w:cs="Calibri"/>
                <w:b/>
                <w:bCs/>
                <w:color w:val="000000"/>
                <w:sz w:val="21"/>
                <w:szCs w:val="21"/>
                <w:lang w:eastAsia="en-GB"/>
              </w:rPr>
            </w:pPr>
            <w:r w:rsidRPr="006D125B">
              <w:rPr>
                <w:rFonts w:ascii="Calibri" w:eastAsia="Times New Roman" w:hAnsi="Calibri" w:cs="Calibri"/>
                <w:b/>
                <w:bCs/>
                <w:color w:val="000000"/>
                <w:sz w:val="21"/>
                <w:szCs w:val="21"/>
                <w:lang w:eastAsia="en-GB"/>
              </w:rPr>
              <w:t>0</w:t>
            </w:r>
          </w:p>
        </w:tc>
      </w:tr>
      <w:tr w:rsidR="00E21286" w:rsidRPr="006D125B" w14:paraId="3D1C2AEB" w14:textId="77777777" w:rsidTr="00C47967">
        <w:trPr>
          <w:trHeight w:val="288"/>
        </w:trPr>
        <w:tc>
          <w:tcPr>
            <w:tcW w:w="2127" w:type="dxa"/>
            <w:shd w:val="clear" w:color="auto" w:fill="auto"/>
            <w:noWrap/>
            <w:vAlign w:val="center"/>
            <w:hideMark/>
          </w:tcPr>
          <w:p w14:paraId="3B48A1C4" w14:textId="685AFA76" w:rsidR="00E21286" w:rsidRPr="006D125B" w:rsidRDefault="00E21286" w:rsidP="00C47967">
            <w:pPr>
              <w:spacing w:after="0" w:line="276" w:lineRule="auto"/>
              <w:jc w:val="right"/>
              <w:rPr>
                <w:rFonts w:ascii="Calibri" w:eastAsia="Times New Roman" w:hAnsi="Calibri" w:cs="Calibri"/>
                <w:color w:val="000000"/>
                <w:sz w:val="21"/>
                <w:szCs w:val="21"/>
                <w:lang w:eastAsia="en-GB"/>
              </w:rPr>
            </w:pPr>
            <w:r w:rsidRPr="006D125B">
              <w:rPr>
                <w:rFonts w:ascii="Calibri" w:eastAsia="Times New Roman" w:hAnsi="Calibri" w:cs="Calibri"/>
                <w:color w:val="000000"/>
                <w:sz w:val="21"/>
                <w:szCs w:val="21"/>
                <w:lang w:eastAsia="en-GB"/>
              </w:rPr>
              <w:t>Trade Associations</w:t>
            </w:r>
          </w:p>
        </w:tc>
        <w:tc>
          <w:tcPr>
            <w:tcW w:w="515" w:type="dxa"/>
            <w:shd w:val="clear" w:color="auto" w:fill="auto"/>
            <w:noWrap/>
            <w:vAlign w:val="center"/>
            <w:hideMark/>
          </w:tcPr>
          <w:p w14:paraId="6C72C0D4" w14:textId="7A4D9D5B" w:rsidR="00E21286" w:rsidRPr="006D125B" w:rsidRDefault="00E21286" w:rsidP="00C47967">
            <w:pPr>
              <w:spacing w:after="0" w:line="276" w:lineRule="auto"/>
              <w:jc w:val="center"/>
              <w:rPr>
                <w:rFonts w:ascii="Calibri" w:eastAsia="Times New Roman" w:hAnsi="Calibri" w:cs="Calibri"/>
                <w:color w:val="000000"/>
                <w:sz w:val="21"/>
                <w:szCs w:val="21"/>
                <w:lang w:eastAsia="en-GB"/>
              </w:rPr>
            </w:pPr>
          </w:p>
        </w:tc>
        <w:tc>
          <w:tcPr>
            <w:tcW w:w="656" w:type="dxa"/>
            <w:shd w:val="clear" w:color="auto" w:fill="auto"/>
            <w:noWrap/>
            <w:vAlign w:val="center"/>
            <w:hideMark/>
          </w:tcPr>
          <w:p w14:paraId="095C830C" w14:textId="77777777" w:rsidR="00E21286" w:rsidRPr="006D125B" w:rsidRDefault="00E21286" w:rsidP="00C47967">
            <w:pPr>
              <w:spacing w:after="0" w:line="276" w:lineRule="auto"/>
              <w:jc w:val="center"/>
              <w:rPr>
                <w:rFonts w:ascii="Calibri" w:eastAsia="Times New Roman" w:hAnsi="Calibri" w:cs="Calibri"/>
                <w:color w:val="FFFFFF"/>
                <w:sz w:val="21"/>
                <w:szCs w:val="21"/>
                <w:lang w:eastAsia="en-GB"/>
              </w:rPr>
            </w:pPr>
            <w:r w:rsidRPr="006D125B">
              <w:rPr>
                <w:rFonts w:ascii="Calibri" w:eastAsia="Times New Roman" w:hAnsi="Calibri" w:cs="Calibri"/>
                <w:color w:val="FFFFFF"/>
                <w:sz w:val="21"/>
                <w:szCs w:val="21"/>
                <w:lang w:eastAsia="en-GB"/>
              </w:rPr>
              <w:t>0</w:t>
            </w:r>
          </w:p>
        </w:tc>
      </w:tr>
      <w:tr w:rsidR="00E21286" w:rsidRPr="006D125B" w14:paraId="1797642C" w14:textId="77777777" w:rsidTr="00C47967">
        <w:trPr>
          <w:trHeight w:val="288"/>
        </w:trPr>
        <w:tc>
          <w:tcPr>
            <w:tcW w:w="2127" w:type="dxa"/>
            <w:shd w:val="clear" w:color="auto" w:fill="auto"/>
            <w:noWrap/>
            <w:vAlign w:val="center"/>
            <w:hideMark/>
          </w:tcPr>
          <w:p w14:paraId="7CA73EC0" w14:textId="77777777" w:rsidR="00E21286" w:rsidRPr="006D125B" w:rsidRDefault="00E21286" w:rsidP="00C47967">
            <w:pPr>
              <w:spacing w:after="0" w:line="276" w:lineRule="auto"/>
              <w:jc w:val="right"/>
              <w:rPr>
                <w:rFonts w:ascii="Calibri" w:eastAsia="Times New Roman" w:hAnsi="Calibri" w:cs="Calibri"/>
                <w:color w:val="000000"/>
                <w:sz w:val="21"/>
                <w:szCs w:val="21"/>
                <w:lang w:eastAsia="en-GB"/>
              </w:rPr>
            </w:pPr>
            <w:r w:rsidRPr="006D125B">
              <w:rPr>
                <w:rFonts w:ascii="Calibri" w:eastAsia="Times New Roman" w:hAnsi="Calibri" w:cs="Calibri"/>
                <w:color w:val="000000"/>
                <w:sz w:val="21"/>
                <w:szCs w:val="21"/>
                <w:lang w:eastAsia="en-GB"/>
              </w:rPr>
              <w:t>DSB Users</w:t>
            </w:r>
          </w:p>
        </w:tc>
        <w:tc>
          <w:tcPr>
            <w:tcW w:w="515" w:type="dxa"/>
            <w:shd w:val="clear" w:color="auto" w:fill="auto"/>
            <w:noWrap/>
            <w:vAlign w:val="center"/>
            <w:hideMark/>
          </w:tcPr>
          <w:p w14:paraId="371F5399" w14:textId="77777777" w:rsidR="00E21286" w:rsidRPr="006D125B" w:rsidRDefault="00E21286" w:rsidP="00C47967">
            <w:pPr>
              <w:spacing w:after="0" w:line="276" w:lineRule="auto"/>
              <w:jc w:val="center"/>
              <w:rPr>
                <w:rFonts w:ascii="Calibri" w:eastAsia="Times New Roman" w:hAnsi="Calibri" w:cs="Calibri"/>
                <w:color w:val="000000"/>
                <w:sz w:val="21"/>
                <w:szCs w:val="21"/>
                <w:lang w:eastAsia="en-GB"/>
              </w:rPr>
            </w:pPr>
            <w:r w:rsidRPr="006D125B">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47D6D432" w14:textId="77777777" w:rsidR="00E21286" w:rsidRPr="006D125B" w:rsidRDefault="00E21286" w:rsidP="00C47967">
            <w:pPr>
              <w:spacing w:after="0" w:line="276" w:lineRule="auto"/>
              <w:jc w:val="center"/>
              <w:rPr>
                <w:rFonts w:ascii="Calibri" w:eastAsia="Times New Roman" w:hAnsi="Calibri" w:cs="Calibri"/>
                <w:color w:val="FFFFFF"/>
                <w:sz w:val="21"/>
                <w:szCs w:val="21"/>
                <w:lang w:eastAsia="en-GB"/>
              </w:rPr>
            </w:pPr>
            <w:r w:rsidRPr="006D125B">
              <w:rPr>
                <w:rFonts w:ascii="Calibri" w:eastAsia="Times New Roman" w:hAnsi="Calibri" w:cs="Calibri"/>
                <w:color w:val="FFFFFF"/>
                <w:sz w:val="21"/>
                <w:szCs w:val="21"/>
                <w:lang w:eastAsia="en-GB"/>
              </w:rPr>
              <w:t>0</w:t>
            </w:r>
          </w:p>
        </w:tc>
      </w:tr>
    </w:tbl>
    <w:p w14:paraId="25EAB5F1" w14:textId="77777777" w:rsidR="00E21286" w:rsidRDefault="00E21286" w:rsidP="00E21286">
      <w:pPr>
        <w:spacing w:before="240" w:after="120" w:line="276" w:lineRule="auto"/>
      </w:pPr>
      <w:r>
        <w:t xml:space="preserve">The few users that provided a response were in favour of the production of a machine-readable format. </w:t>
      </w:r>
    </w:p>
    <w:p w14:paraId="38529CBE" w14:textId="77777777" w:rsidR="00E21286" w:rsidRDefault="00E21286" w:rsidP="00E21286">
      <w:pPr>
        <w:rPr>
          <w:u w:val="single"/>
        </w:rPr>
      </w:pPr>
      <w:r>
        <w:rPr>
          <w:u w:val="single"/>
        </w:rPr>
        <w:t>Analysis of Responses</w:t>
      </w:r>
    </w:p>
    <w:p w14:paraId="5453F5B8" w14:textId="05E60656" w:rsidR="00E21286" w:rsidRDefault="00E21286" w:rsidP="00E21286">
      <w:r>
        <w:t xml:space="preserve">The DSB notes the low number of respondents but is also mindful that </w:t>
      </w:r>
      <w:r w:rsidR="000F6B3D">
        <w:t xml:space="preserve">both </w:t>
      </w:r>
      <w:r w:rsidR="00924038">
        <w:t xml:space="preserve">respondents were in favour of the </w:t>
      </w:r>
      <w:r>
        <w:t>creation of a machine-readable format</w:t>
      </w:r>
      <w:r w:rsidR="00A877D4">
        <w:t>, given its potential to</w:t>
      </w:r>
      <w:r>
        <w:t xml:space="preserve"> lower costs to industry and </w:t>
      </w:r>
      <w:r w:rsidR="00A877D4">
        <w:t xml:space="preserve">lower </w:t>
      </w:r>
      <w:r>
        <w:t>data transcription errors.</w:t>
      </w:r>
    </w:p>
    <w:p w14:paraId="340685BC" w14:textId="389E0582" w:rsidR="00E21286" w:rsidRPr="00763325" w:rsidRDefault="00E21286" w:rsidP="00E21286">
      <w:r>
        <w:t xml:space="preserve">In the light of this, the DSB believes </w:t>
      </w:r>
      <w:r w:rsidR="00326327">
        <w:t xml:space="preserve">this question should be presented to the TAC for prioritization </w:t>
      </w:r>
      <w:r>
        <w:t>as part of business as usual activities, with existing TAC secretariat resources.</w:t>
      </w:r>
    </w:p>
    <w:p w14:paraId="79455ABB" w14:textId="77777777" w:rsidR="00E21286" w:rsidRDefault="00E21286" w:rsidP="00F77EC3">
      <w:pPr>
        <w:spacing w:before="240"/>
        <w:rPr>
          <w:u w:val="single"/>
        </w:rPr>
      </w:pPr>
      <w:r>
        <w:rPr>
          <w:u w:val="single"/>
        </w:rPr>
        <w:t>DSB Proposed Next Steps</w:t>
      </w:r>
    </w:p>
    <w:p w14:paraId="74B6A52D" w14:textId="26AF3C23" w:rsidR="00E21286" w:rsidRPr="00BB1C2A" w:rsidRDefault="00E21286" w:rsidP="00E21286">
      <w:pPr>
        <w:spacing w:before="240" w:after="240" w:line="276" w:lineRule="auto"/>
      </w:pPr>
      <w:r>
        <w:t xml:space="preserve">DSB to ask TAC to consider prioritization vs other on-going activities. </w:t>
      </w:r>
    </w:p>
    <w:p w14:paraId="1DEBA942" w14:textId="0232EBB8" w:rsidR="00E21286" w:rsidRDefault="00DB02CD" w:rsidP="00E21286">
      <w:pPr>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904000" behindDoc="1" locked="0" layoutInCell="1" allowOverlap="1" wp14:anchorId="3360EA5D" wp14:editId="16ED93F6">
                <wp:simplePos x="0" y="0"/>
                <wp:positionH relativeFrom="margin">
                  <wp:posOffset>-2540</wp:posOffset>
                </wp:positionH>
                <wp:positionV relativeFrom="paragraph">
                  <wp:posOffset>236220</wp:posOffset>
                </wp:positionV>
                <wp:extent cx="5716905" cy="1404620"/>
                <wp:effectExtent l="0" t="0" r="17145" b="27305"/>
                <wp:wrapTight wrapText="bothSides">
                  <wp:wrapPolygon edited="0">
                    <wp:start x="0" y="0"/>
                    <wp:lineTo x="0" y="21940"/>
                    <wp:lineTo x="21593" y="21940"/>
                    <wp:lineTo x="21593"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8434A69" w14:textId="434B5875" w:rsidR="00D52BA4" w:rsidRDefault="00D52BA4" w:rsidP="00E21286">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10</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4F64A7">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investigate the automated provision of the full of list proprietary indices in a machine-readable format as part of the DSB’s business as usual resourcing and prioritisation</w:t>
                            </w:r>
                            <w:r w:rsidRPr="00716426">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0EA5D" id="Text Box 54" o:spid="_x0000_s1046" type="#_x0000_t202" style="position:absolute;margin-left:-.2pt;margin-top:18.6pt;width:450.15pt;height:110.6pt;z-index:-251412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">
                <v:textbox style="mso-fit-shape-to-text:t">
                  <w:txbxContent>
                    <w:p w14:paraId="38434A69" w14:textId="434B5875" w:rsidR="00D52BA4" w:rsidRDefault="00D52BA4" w:rsidP="00E21286">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10</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4F64A7">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investigate the automated provision of the full of list proprietary indices in a machine-readable format as part of the DSB’s business as usual resourcing and prioritisation</w:t>
                      </w:r>
                      <w:r w:rsidRPr="00716426">
                        <w:rPr>
                          <w:rStyle w:val="eop"/>
                          <w:rFonts w:ascii="Calibri" w:eastAsiaTheme="majorEastAsia" w:hAnsi="Calibri" w:cs="Calibri"/>
                          <w:sz w:val="22"/>
                          <w:szCs w:val="22"/>
                        </w:rPr>
                        <w:t>?</w:t>
                      </w:r>
                    </w:p>
                  </w:txbxContent>
                </v:textbox>
                <w10:wrap type="tight" anchorx="margin"/>
              </v:shape>
            </w:pict>
          </mc:Fallback>
        </mc:AlternateContent>
      </w:r>
    </w:p>
    <w:p w14:paraId="35210DA3" w14:textId="77777777" w:rsidR="00013CCE" w:rsidRDefault="00013CCE" w:rsidP="00013CCE">
      <w:pPr>
        <w:rPr>
          <w:rFonts w:ascii="Calibri" w:eastAsia="Times New Roman" w:hAnsi="Calibri" w:cs="Calibri"/>
          <w:color w:val="000000"/>
          <w:lang w:eastAsia="en-GB"/>
        </w:rPr>
      </w:pPr>
    </w:p>
    <w:p w14:paraId="06B3B842" w14:textId="77777777" w:rsidR="00DB02CD" w:rsidRDefault="00DB02CD">
      <w:pPr>
        <w:rPr>
          <w:rFonts w:asciiTheme="majorHAnsi" w:eastAsiaTheme="majorEastAsia" w:hAnsiTheme="majorHAnsi" w:cstheme="majorBidi"/>
          <w:color w:val="1F4D78" w:themeColor="accent1" w:themeShade="7F"/>
          <w:sz w:val="24"/>
          <w:szCs w:val="24"/>
        </w:rPr>
      </w:pPr>
      <w:r>
        <w:br w:type="page"/>
      </w:r>
    </w:p>
    <w:bookmarkStart w:id="70" w:name="_Ref13073702"/>
    <w:bookmarkStart w:id="71" w:name="_Toc13087140"/>
    <w:bookmarkStart w:id="72" w:name="_Toc13157227"/>
    <w:p w14:paraId="501504B3" w14:textId="421DA79B" w:rsidR="00013CCE" w:rsidRDefault="00D426C1" w:rsidP="00013CCE">
      <w:pPr>
        <w:pStyle w:val="Heading3"/>
      </w:pPr>
      <w:r>
        <w:rPr>
          <w:noProof/>
          <w:lang w:eastAsia="en-GB"/>
        </w:rPr>
        <w:lastRenderedPageBreak/>
        <mc:AlternateContent>
          <mc:Choice Requires="wps">
            <w:drawing>
              <wp:anchor distT="45720" distB="45720" distL="114300" distR="114300" simplePos="0" relativeHeight="251642880" behindDoc="0" locked="0" layoutInCell="1" allowOverlap="1" wp14:anchorId="68332501" wp14:editId="3351F958">
                <wp:simplePos x="0" y="0"/>
                <wp:positionH relativeFrom="margin">
                  <wp:align>right</wp:align>
                </wp:positionH>
                <wp:positionV relativeFrom="paragraph">
                  <wp:posOffset>396903</wp:posOffset>
                </wp:positionV>
                <wp:extent cx="5716905" cy="1404620"/>
                <wp:effectExtent l="0" t="0" r="17145" b="273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067959C" w14:textId="198B0CCA" w:rsidR="00D52BA4" w:rsidRPr="00D426C1" w:rsidRDefault="00D52BA4" w:rsidP="00013CCE">
                            <w:r>
                              <w:rPr>
                                <w:rStyle w:val="normaltextrun"/>
                                <w:rFonts w:ascii="Calibri" w:hAnsi="Calibri" w:cs="Calibri"/>
                                <w:b/>
                                <w:bCs/>
                                <w:color w:val="000000"/>
                              </w:rPr>
                              <w:t xml:space="preserve">CP1 Question: </w:t>
                            </w:r>
                            <w:r w:rsidRPr="00D426C1">
                              <w:rPr>
                                <w:rStyle w:val="normaltextrun"/>
                                <w:rFonts w:ascii="Calibri" w:hAnsi="Calibri" w:cs="Calibri"/>
                                <w:bCs/>
                                <w:color w:val="000000"/>
                              </w:rPr>
                              <w:t>Where a user submits an underlying ISIN for a credit default swap, do you want the DSB to investigate connecting to the new LEI-ISIN mapping API in order to also provide the LEI (in all instances where it is available) as part of the associated OTC ISIN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332501" id="_x0000_s1047" type="#_x0000_t202" style="position:absolute;left:0;text-align:left;margin-left:398.95pt;margin-top:31.25pt;width:450.15pt;height:110.6pt;z-index:2516428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">
                <v:textbox style="mso-fit-shape-to-text:t">
                  <w:txbxContent>
                    <w:p w14:paraId="2067959C" w14:textId="198B0CCA" w:rsidR="00D52BA4" w:rsidRPr="00D426C1" w:rsidRDefault="00D52BA4" w:rsidP="00013CCE">
                      <w:r>
                        <w:rPr>
                          <w:rStyle w:val="normaltextrun"/>
                          <w:rFonts w:ascii="Calibri" w:hAnsi="Calibri" w:cs="Calibri"/>
                          <w:b/>
                          <w:bCs/>
                          <w:color w:val="000000"/>
                        </w:rPr>
                        <w:t xml:space="preserve">CP1 Question: </w:t>
                      </w:r>
                      <w:r w:rsidRPr="00D426C1">
                        <w:rPr>
                          <w:rStyle w:val="normaltextrun"/>
                          <w:rFonts w:ascii="Calibri" w:hAnsi="Calibri" w:cs="Calibri"/>
                          <w:bCs/>
                          <w:color w:val="000000"/>
                        </w:rPr>
                        <w:t>Where a user submits an underlying ISIN for a credit default swap, do you want the DSB to investigate connecting to the new LEI-ISIN mapping API in order to also provide the LEI (in all instances where it is available) as part of the associated OTC ISIN record?</w:t>
                      </w:r>
                    </w:p>
                  </w:txbxContent>
                </v:textbox>
                <w10:wrap type="square" anchorx="margin"/>
              </v:shape>
            </w:pict>
          </mc:Fallback>
        </mc:AlternateContent>
      </w:r>
      <w:r w:rsidR="00013CCE">
        <w:t>Q2.2</w:t>
      </w:r>
      <w:r>
        <w:t>(b)</w:t>
      </w:r>
      <w:r w:rsidR="00013CCE">
        <w:t xml:space="preserve"> – </w:t>
      </w:r>
      <w:r>
        <w:t>LEI for CDS SINGLE NAME</w:t>
      </w:r>
      <w:bookmarkEnd w:id="70"/>
      <w:bookmarkEnd w:id="71"/>
      <w:bookmarkEnd w:id="72"/>
    </w:p>
    <w:p w14:paraId="516222BD" w14:textId="125DE68B" w:rsidR="00013CCE" w:rsidRDefault="00013CCE" w:rsidP="00013CCE">
      <w:pPr>
        <w:spacing w:before="100" w:beforeAutospacing="1" w:after="100" w:afterAutospacing="1" w:line="276" w:lineRule="auto"/>
        <w:textAlignment w:val="baseline"/>
        <w:rPr>
          <w:u w:val="single"/>
        </w:rPr>
      </w:pPr>
      <w:r>
        <w:rPr>
          <w:u w:val="single"/>
        </w:rPr>
        <w:t>Industry Responses</w:t>
      </w:r>
    </w:p>
    <w:p w14:paraId="6BBC55CF" w14:textId="77777777" w:rsidR="00D426C1" w:rsidRPr="00BB1C2A" w:rsidRDefault="00D426C1" w:rsidP="00D426C1">
      <w:pPr>
        <w:spacing w:after="120" w:line="276" w:lineRule="auto"/>
      </w:pPr>
      <w:r>
        <w:t>The responses received to the question posed in the first consultation are set out below</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D426C1" w:rsidRPr="00110F0D" w14:paraId="2D61FDCA" w14:textId="77777777" w:rsidTr="00D426C1">
        <w:trPr>
          <w:trHeight w:val="576"/>
        </w:trPr>
        <w:tc>
          <w:tcPr>
            <w:tcW w:w="2127" w:type="dxa"/>
            <w:vMerge w:val="restart"/>
            <w:shd w:val="clear" w:color="auto" w:fill="auto"/>
            <w:noWrap/>
            <w:vAlign w:val="center"/>
            <w:hideMark/>
          </w:tcPr>
          <w:p w14:paraId="3334E4C1" w14:textId="77777777" w:rsidR="00D426C1" w:rsidRPr="00110F0D" w:rsidRDefault="00D426C1" w:rsidP="009467EC">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0F389203" w14:textId="77777777" w:rsidR="00D426C1" w:rsidRPr="00110F0D" w:rsidRDefault="00D426C1" w:rsidP="009467EC">
            <w:pPr>
              <w:spacing w:after="0" w:line="240" w:lineRule="auto"/>
              <w:jc w:val="center"/>
              <w:rPr>
                <w:rFonts w:ascii="Calibri" w:eastAsia="Times New Roman" w:hAnsi="Calibri" w:cs="Calibri"/>
                <w:b/>
                <w:bCs/>
                <w:color w:val="000000"/>
                <w:sz w:val="21"/>
                <w:szCs w:val="21"/>
                <w:lang w:eastAsia="en-GB"/>
              </w:rPr>
            </w:pPr>
            <w:r w:rsidRPr="00110F0D">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08464506" w14:textId="77777777" w:rsidR="00D426C1" w:rsidRPr="00110F0D" w:rsidRDefault="00D426C1" w:rsidP="009467EC">
            <w:pPr>
              <w:spacing w:after="0" w:line="240" w:lineRule="auto"/>
              <w:jc w:val="center"/>
              <w:rPr>
                <w:rFonts w:ascii="Calibri" w:eastAsia="Times New Roman" w:hAnsi="Calibri" w:cs="Calibri"/>
                <w:b/>
                <w:bCs/>
                <w:color w:val="000000"/>
                <w:sz w:val="21"/>
                <w:szCs w:val="21"/>
                <w:lang w:eastAsia="en-GB"/>
              </w:rPr>
            </w:pPr>
            <w:r w:rsidRPr="00110F0D">
              <w:rPr>
                <w:rFonts w:ascii="Calibri" w:eastAsia="Times New Roman" w:hAnsi="Calibri" w:cs="Calibri"/>
                <w:b/>
                <w:bCs/>
                <w:color w:val="000000"/>
                <w:sz w:val="21"/>
                <w:szCs w:val="21"/>
                <w:lang w:eastAsia="en-GB"/>
              </w:rPr>
              <w:t>No</w:t>
            </w:r>
          </w:p>
        </w:tc>
      </w:tr>
      <w:tr w:rsidR="00D426C1" w:rsidRPr="00110F0D" w14:paraId="6E9A3143" w14:textId="77777777" w:rsidTr="00D426C1">
        <w:trPr>
          <w:trHeight w:val="288"/>
        </w:trPr>
        <w:tc>
          <w:tcPr>
            <w:tcW w:w="2127" w:type="dxa"/>
            <w:vMerge/>
            <w:vAlign w:val="center"/>
            <w:hideMark/>
          </w:tcPr>
          <w:p w14:paraId="2351F7D1" w14:textId="77777777" w:rsidR="00D426C1" w:rsidRPr="00110F0D" w:rsidRDefault="00D426C1" w:rsidP="009467EC">
            <w:pPr>
              <w:spacing w:after="0" w:line="240" w:lineRule="auto"/>
              <w:rPr>
                <w:rFonts w:ascii="Times New Roman" w:eastAsia="Times New Roman" w:hAnsi="Times New Roman" w:cs="Times New Roman"/>
                <w:sz w:val="24"/>
                <w:szCs w:val="24"/>
                <w:lang w:eastAsia="en-GB"/>
              </w:rPr>
            </w:pPr>
          </w:p>
        </w:tc>
        <w:tc>
          <w:tcPr>
            <w:tcW w:w="289" w:type="dxa"/>
            <w:shd w:val="clear" w:color="000000" w:fill="63BE7B"/>
            <w:noWrap/>
            <w:vAlign w:val="center"/>
            <w:hideMark/>
          </w:tcPr>
          <w:p w14:paraId="1A9CC0B4" w14:textId="77777777" w:rsidR="00D426C1" w:rsidRPr="00110F0D" w:rsidRDefault="00D426C1" w:rsidP="009467EC">
            <w:pPr>
              <w:spacing w:after="0" w:line="240" w:lineRule="auto"/>
              <w:jc w:val="center"/>
              <w:rPr>
                <w:rFonts w:ascii="Calibri" w:eastAsia="Times New Roman" w:hAnsi="Calibri" w:cs="Calibri"/>
                <w:b/>
                <w:bCs/>
                <w:color w:val="000000"/>
                <w:sz w:val="21"/>
                <w:szCs w:val="21"/>
                <w:lang w:eastAsia="en-GB"/>
              </w:rPr>
            </w:pPr>
            <w:r w:rsidRPr="00110F0D">
              <w:rPr>
                <w:rFonts w:ascii="Calibri" w:eastAsia="Times New Roman" w:hAnsi="Calibri" w:cs="Calibri"/>
                <w:b/>
                <w:bCs/>
                <w:color w:val="000000"/>
                <w:sz w:val="21"/>
                <w:szCs w:val="21"/>
                <w:lang w:eastAsia="en-GB"/>
              </w:rPr>
              <w:t>10</w:t>
            </w:r>
          </w:p>
        </w:tc>
        <w:tc>
          <w:tcPr>
            <w:tcW w:w="656" w:type="dxa"/>
            <w:shd w:val="clear" w:color="000000" w:fill="F8696B"/>
            <w:noWrap/>
            <w:vAlign w:val="center"/>
            <w:hideMark/>
          </w:tcPr>
          <w:p w14:paraId="0A998093" w14:textId="77777777" w:rsidR="00D426C1" w:rsidRPr="00110F0D" w:rsidRDefault="00D426C1" w:rsidP="009467EC">
            <w:pPr>
              <w:spacing w:after="0" w:line="240" w:lineRule="auto"/>
              <w:jc w:val="center"/>
              <w:rPr>
                <w:rFonts w:ascii="Calibri" w:eastAsia="Times New Roman" w:hAnsi="Calibri" w:cs="Calibri"/>
                <w:b/>
                <w:bCs/>
                <w:color w:val="000000"/>
                <w:sz w:val="21"/>
                <w:szCs w:val="21"/>
                <w:lang w:eastAsia="en-GB"/>
              </w:rPr>
            </w:pPr>
            <w:r w:rsidRPr="00110F0D">
              <w:rPr>
                <w:rFonts w:ascii="Calibri" w:eastAsia="Times New Roman" w:hAnsi="Calibri" w:cs="Calibri"/>
                <w:b/>
                <w:bCs/>
                <w:color w:val="000000"/>
                <w:sz w:val="21"/>
                <w:szCs w:val="21"/>
                <w:lang w:eastAsia="en-GB"/>
              </w:rPr>
              <w:t>0</w:t>
            </w:r>
          </w:p>
        </w:tc>
      </w:tr>
      <w:tr w:rsidR="00D426C1" w:rsidRPr="00110F0D" w14:paraId="19C70CD9" w14:textId="77777777" w:rsidTr="00D426C1">
        <w:trPr>
          <w:trHeight w:val="288"/>
        </w:trPr>
        <w:tc>
          <w:tcPr>
            <w:tcW w:w="2127" w:type="dxa"/>
            <w:shd w:val="clear" w:color="auto" w:fill="auto"/>
            <w:noWrap/>
            <w:vAlign w:val="center"/>
            <w:hideMark/>
          </w:tcPr>
          <w:p w14:paraId="2C60C3FD" w14:textId="77777777" w:rsidR="00D426C1" w:rsidRPr="00110F0D" w:rsidRDefault="00D426C1" w:rsidP="009467EC">
            <w:pPr>
              <w:spacing w:after="0" w:line="240" w:lineRule="auto"/>
              <w:jc w:val="right"/>
              <w:rPr>
                <w:rFonts w:ascii="Calibri" w:eastAsia="Times New Roman" w:hAnsi="Calibri" w:cs="Calibri"/>
                <w:color w:val="000000"/>
                <w:sz w:val="21"/>
                <w:szCs w:val="21"/>
                <w:lang w:eastAsia="en-GB"/>
              </w:rPr>
            </w:pPr>
            <w:r w:rsidRPr="00110F0D">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174B8313" w14:textId="77777777" w:rsidR="00D426C1" w:rsidRPr="00110F0D" w:rsidRDefault="00D426C1" w:rsidP="009467EC">
            <w:pPr>
              <w:spacing w:after="0" w:line="240" w:lineRule="auto"/>
              <w:jc w:val="center"/>
              <w:rPr>
                <w:rFonts w:ascii="Calibri" w:eastAsia="Times New Roman" w:hAnsi="Calibri" w:cs="Calibri"/>
                <w:color w:val="000000"/>
                <w:sz w:val="21"/>
                <w:szCs w:val="21"/>
                <w:lang w:eastAsia="en-GB"/>
              </w:rPr>
            </w:pPr>
            <w:r w:rsidRPr="00110F0D">
              <w:rPr>
                <w:rFonts w:ascii="Calibri" w:eastAsia="Times New Roman" w:hAnsi="Calibri" w:cs="Calibri"/>
                <w:color w:val="000000"/>
                <w:sz w:val="21"/>
                <w:szCs w:val="21"/>
                <w:lang w:eastAsia="en-GB"/>
              </w:rPr>
              <w:t>4</w:t>
            </w:r>
          </w:p>
        </w:tc>
        <w:tc>
          <w:tcPr>
            <w:tcW w:w="656" w:type="dxa"/>
            <w:shd w:val="clear" w:color="auto" w:fill="auto"/>
            <w:noWrap/>
            <w:vAlign w:val="center"/>
            <w:hideMark/>
          </w:tcPr>
          <w:p w14:paraId="46F0324A" w14:textId="77777777" w:rsidR="00D426C1" w:rsidRPr="00110F0D" w:rsidRDefault="00D426C1" w:rsidP="009467EC">
            <w:pPr>
              <w:spacing w:after="0" w:line="240" w:lineRule="auto"/>
              <w:jc w:val="center"/>
              <w:rPr>
                <w:rFonts w:ascii="Calibri" w:eastAsia="Times New Roman" w:hAnsi="Calibri" w:cs="Calibri"/>
                <w:color w:val="FFFFFF"/>
                <w:sz w:val="21"/>
                <w:szCs w:val="21"/>
                <w:lang w:eastAsia="en-GB"/>
              </w:rPr>
            </w:pPr>
            <w:r w:rsidRPr="00110F0D">
              <w:rPr>
                <w:rFonts w:ascii="Calibri" w:eastAsia="Times New Roman" w:hAnsi="Calibri" w:cs="Calibri"/>
                <w:color w:val="FFFFFF"/>
                <w:sz w:val="21"/>
                <w:szCs w:val="21"/>
                <w:lang w:eastAsia="en-GB"/>
              </w:rPr>
              <w:t>0</w:t>
            </w:r>
          </w:p>
        </w:tc>
      </w:tr>
      <w:tr w:rsidR="00D426C1" w:rsidRPr="00110F0D" w14:paraId="6D2825A5" w14:textId="77777777" w:rsidTr="00D426C1">
        <w:trPr>
          <w:trHeight w:val="288"/>
        </w:trPr>
        <w:tc>
          <w:tcPr>
            <w:tcW w:w="2127" w:type="dxa"/>
            <w:shd w:val="clear" w:color="auto" w:fill="auto"/>
            <w:noWrap/>
            <w:vAlign w:val="center"/>
            <w:hideMark/>
          </w:tcPr>
          <w:p w14:paraId="0444A253" w14:textId="77777777" w:rsidR="00D426C1" w:rsidRPr="00110F0D" w:rsidRDefault="00D426C1" w:rsidP="009467EC">
            <w:pPr>
              <w:spacing w:after="0" w:line="240" w:lineRule="auto"/>
              <w:jc w:val="right"/>
              <w:rPr>
                <w:rFonts w:ascii="Calibri" w:eastAsia="Times New Roman" w:hAnsi="Calibri" w:cs="Calibri"/>
                <w:color w:val="000000"/>
                <w:sz w:val="21"/>
                <w:szCs w:val="21"/>
                <w:lang w:eastAsia="en-GB"/>
              </w:rPr>
            </w:pPr>
            <w:r w:rsidRPr="00110F0D">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5813F430" w14:textId="77777777" w:rsidR="00D426C1" w:rsidRPr="00110F0D" w:rsidRDefault="00D426C1" w:rsidP="009467EC">
            <w:pPr>
              <w:spacing w:after="0" w:line="240" w:lineRule="auto"/>
              <w:jc w:val="center"/>
              <w:rPr>
                <w:rFonts w:ascii="Calibri" w:eastAsia="Times New Roman" w:hAnsi="Calibri" w:cs="Calibri"/>
                <w:color w:val="000000"/>
                <w:sz w:val="21"/>
                <w:szCs w:val="21"/>
                <w:lang w:eastAsia="en-GB"/>
              </w:rPr>
            </w:pPr>
            <w:r w:rsidRPr="00110F0D">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108BAB75" w14:textId="77777777" w:rsidR="00D426C1" w:rsidRPr="00110F0D" w:rsidRDefault="00D426C1" w:rsidP="009467EC">
            <w:pPr>
              <w:spacing w:after="0" w:line="240" w:lineRule="auto"/>
              <w:jc w:val="center"/>
              <w:rPr>
                <w:rFonts w:ascii="Calibri" w:eastAsia="Times New Roman" w:hAnsi="Calibri" w:cs="Calibri"/>
                <w:color w:val="FFFFFF"/>
                <w:sz w:val="21"/>
                <w:szCs w:val="21"/>
                <w:lang w:eastAsia="en-GB"/>
              </w:rPr>
            </w:pPr>
            <w:r w:rsidRPr="00110F0D">
              <w:rPr>
                <w:rFonts w:ascii="Calibri" w:eastAsia="Times New Roman" w:hAnsi="Calibri" w:cs="Calibri"/>
                <w:color w:val="FFFFFF"/>
                <w:sz w:val="21"/>
                <w:szCs w:val="21"/>
                <w:lang w:eastAsia="en-GB"/>
              </w:rPr>
              <w:t>0</w:t>
            </w:r>
          </w:p>
        </w:tc>
      </w:tr>
    </w:tbl>
    <w:p w14:paraId="4D932C21" w14:textId="2AD6FBC4" w:rsidR="00D426C1" w:rsidRDefault="00D426C1" w:rsidP="00D426C1">
      <w:pPr>
        <w:spacing w:before="240" w:after="120" w:line="276" w:lineRule="auto"/>
      </w:pPr>
      <w:r w:rsidRPr="001D7F9D">
        <w:t>A</w:t>
      </w:r>
      <w:r>
        <w:t>ll</w:t>
      </w:r>
      <w:r w:rsidRPr="001D7F9D">
        <w:t xml:space="preserve"> respondents requested that the DSB investigate </w:t>
      </w:r>
      <w:r>
        <w:t xml:space="preserve">development of a link between the DSB and the ISIN-LEI service in order to provide the LEI in all instances where it is available. </w:t>
      </w:r>
    </w:p>
    <w:p w14:paraId="2210D158" w14:textId="77777777" w:rsidR="00D426C1" w:rsidRDefault="00D426C1" w:rsidP="00D426C1">
      <w:pPr>
        <w:spacing w:after="120" w:line="276" w:lineRule="auto"/>
      </w:pPr>
      <w:r w:rsidRPr="00307894">
        <w:t xml:space="preserve">Users seeking additional information noted that it would be desirable to link a single name </w:t>
      </w:r>
      <w:r>
        <w:t>Credit Default Swaps’ (</w:t>
      </w:r>
      <w:r w:rsidRPr="00307894">
        <w:t>CDS</w:t>
      </w:r>
      <w:r>
        <w:t>)</w:t>
      </w:r>
      <w:r w:rsidRPr="00307894">
        <w:t xml:space="preserve"> underlying reference bond’s ISIN to the bond’s issuer LEI within DSB product templates</w:t>
      </w:r>
      <w:r>
        <w:t xml:space="preserve">, to assist end users to </w:t>
      </w:r>
      <w:r w:rsidRPr="0007159D">
        <w:t>investigate discrepancies where the same product has two different ISINs because one counterparty uses the LEI as the Ref</w:t>
      </w:r>
      <w:r>
        <w:t>erence</w:t>
      </w:r>
      <w:r w:rsidRPr="0007159D">
        <w:t xml:space="preserve"> Ob</w:t>
      </w:r>
      <w:r>
        <w:t>ligation</w:t>
      </w:r>
      <w:r w:rsidRPr="0007159D">
        <w:t xml:space="preserve"> but the other uses the ISIN of the specific bond</w:t>
      </w:r>
      <w:r>
        <w:t xml:space="preserve">. </w:t>
      </w:r>
    </w:p>
    <w:p w14:paraId="3CDB9316" w14:textId="578D6A18" w:rsidR="00013CCE" w:rsidRDefault="00013CCE" w:rsidP="00F77EC3">
      <w:pPr>
        <w:spacing w:before="240"/>
        <w:rPr>
          <w:u w:val="single"/>
        </w:rPr>
      </w:pPr>
      <w:r>
        <w:rPr>
          <w:u w:val="single"/>
        </w:rPr>
        <w:t>Analysis of Responses</w:t>
      </w:r>
    </w:p>
    <w:p w14:paraId="672BFFA5" w14:textId="65701F95" w:rsidR="00D426C1" w:rsidRPr="00D426C1" w:rsidRDefault="00D426C1" w:rsidP="00013CCE">
      <w:r>
        <w:t xml:space="preserve">The DSB believes there is sufficient interest in implementation of this service, assuming costs are in-line with industry expectations. The DSB will provide cost figures within this document in order to allow industry to make an informed decision on </w:t>
      </w:r>
      <w:r w:rsidR="00E637D5">
        <w:t>implementation</w:t>
      </w:r>
      <w:r>
        <w:t>.</w:t>
      </w:r>
    </w:p>
    <w:p w14:paraId="4EA69872" w14:textId="558B85C5" w:rsidR="00013CCE" w:rsidRDefault="00013CCE" w:rsidP="00F77EC3">
      <w:pPr>
        <w:spacing w:before="240"/>
        <w:rPr>
          <w:u w:val="single"/>
        </w:rPr>
      </w:pPr>
      <w:r>
        <w:rPr>
          <w:u w:val="single"/>
        </w:rPr>
        <w:t>DSB Proposed Next Steps</w:t>
      </w:r>
    </w:p>
    <w:p w14:paraId="141E1EEB" w14:textId="0181C9CA" w:rsidR="00E637D5" w:rsidRDefault="00E637D5" w:rsidP="00E637D5">
      <w:pPr>
        <w:rPr>
          <w:bCs/>
        </w:rPr>
      </w:pPr>
      <w:r w:rsidRPr="00BB1525">
        <w:t>The DS</w:t>
      </w:r>
      <w:r w:rsidRPr="00BB1525">
        <w:rPr>
          <w:bCs/>
        </w:rPr>
        <w:t xml:space="preserve">B </w:t>
      </w:r>
      <w:r>
        <w:rPr>
          <w:bCs/>
        </w:rPr>
        <w:t xml:space="preserve">has provided costings for the service in this section in order to allow industry to make an informed decision on whether the DSB should provide such a service under the ISO cost-recovery principles. </w:t>
      </w:r>
    </w:p>
    <w:p w14:paraId="6294C78E" w14:textId="77777777" w:rsidR="00E637D5" w:rsidRDefault="00E637D5" w:rsidP="00E637D5">
      <w:pPr>
        <w:rPr>
          <w:bCs/>
        </w:rPr>
      </w:pPr>
      <w:r>
        <w:rPr>
          <w:bCs/>
        </w:rPr>
        <w:t>Cost estimates:</w:t>
      </w:r>
    </w:p>
    <w:p w14:paraId="00B8768B" w14:textId="4C39162E" w:rsidR="00E637D5" w:rsidRDefault="00E637D5" w:rsidP="00E637D5">
      <w:pPr>
        <w:pStyle w:val="ListParagraph"/>
        <w:numPr>
          <w:ilvl w:val="0"/>
          <w:numId w:val="42"/>
        </w:numPr>
        <w:spacing w:after="100" w:afterAutospacing="1" w:line="276" w:lineRule="auto"/>
        <w:textAlignment w:val="baseline"/>
        <w:rPr>
          <w:rFonts w:eastAsia="Times New Roman"/>
          <w:color w:val="000000"/>
          <w:lang w:eastAsia="en-GB"/>
        </w:rPr>
      </w:pPr>
      <w:r>
        <w:rPr>
          <w:rFonts w:eastAsia="Times New Roman"/>
          <w:color w:val="000000"/>
          <w:lang w:eastAsia="en-GB"/>
        </w:rPr>
        <w:t>Capex: €60k analysis in 2020</w:t>
      </w:r>
    </w:p>
    <w:p w14:paraId="3FA871D0" w14:textId="37AD3FB3" w:rsidR="00E637D5" w:rsidRDefault="00E637D5" w:rsidP="00E637D5">
      <w:pPr>
        <w:pStyle w:val="ListParagraph"/>
        <w:numPr>
          <w:ilvl w:val="0"/>
          <w:numId w:val="42"/>
        </w:numPr>
        <w:spacing w:before="100" w:beforeAutospacing="1" w:after="100" w:afterAutospacing="1" w:line="276" w:lineRule="auto"/>
        <w:textAlignment w:val="baseline"/>
        <w:rPr>
          <w:rFonts w:eastAsia="Times New Roman"/>
          <w:color w:val="000000"/>
          <w:lang w:eastAsia="en-GB"/>
        </w:rPr>
      </w:pPr>
      <w:r>
        <w:rPr>
          <w:rFonts w:eastAsia="Times New Roman"/>
          <w:color w:val="000000"/>
          <w:lang w:eastAsia="en-GB"/>
        </w:rPr>
        <w:t>Capex: €200k for the build cost in 2020</w:t>
      </w:r>
    </w:p>
    <w:p w14:paraId="3C22FEB2" w14:textId="1D50EBB7" w:rsidR="00E637D5" w:rsidRDefault="00E637D5" w:rsidP="00E637D5">
      <w:pPr>
        <w:pStyle w:val="ListParagraph"/>
        <w:numPr>
          <w:ilvl w:val="0"/>
          <w:numId w:val="42"/>
        </w:numPr>
        <w:spacing w:before="100" w:beforeAutospacing="1" w:after="100" w:afterAutospacing="1" w:line="276" w:lineRule="auto"/>
        <w:textAlignment w:val="baseline"/>
        <w:rPr>
          <w:rFonts w:eastAsia="Times New Roman"/>
          <w:color w:val="000000"/>
          <w:lang w:eastAsia="en-GB"/>
        </w:rPr>
      </w:pPr>
      <w:proofErr w:type="spellStart"/>
      <w:r>
        <w:rPr>
          <w:rFonts w:eastAsia="Times New Roman"/>
          <w:color w:val="000000"/>
          <w:lang w:eastAsia="en-GB"/>
        </w:rPr>
        <w:t>Opex</w:t>
      </w:r>
      <w:proofErr w:type="spellEnd"/>
      <w:r>
        <w:rPr>
          <w:rFonts w:eastAsia="Times New Roman"/>
          <w:color w:val="000000"/>
          <w:lang w:eastAsia="en-GB"/>
        </w:rPr>
        <w:t>: €</w:t>
      </w:r>
      <w:r w:rsidR="004D3D64">
        <w:rPr>
          <w:rFonts w:eastAsia="Times New Roman"/>
          <w:color w:val="000000"/>
          <w:lang w:eastAsia="en-GB"/>
        </w:rPr>
        <w:t>9</w:t>
      </w:r>
      <w:r w:rsidR="00406D83">
        <w:rPr>
          <w:rFonts w:eastAsia="Times New Roman"/>
          <w:color w:val="000000"/>
          <w:lang w:eastAsia="en-GB"/>
        </w:rPr>
        <w:t>0</w:t>
      </w:r>
      <w:r>
        <w:rPr>
          <w:rFonts w:eastAsia="Times New Roman"/>
          <w:color w:val="000000"/>
          <w:lang w:eastAsia="en-GB"/>
        </w:rPr>
        <w:t>k annual run cost from 2021</w:t>
      </w:r>
    </w:p>
    <w:p w14:paraId="656FDBA2" w14:textId="73B3B5F6" w:rsidR="00D426C1" w:rsidRPr="00724405" w:rsidRDefault="00E637D5" w:rsidP="00724405">
      <w:pPr>
        <w:spacing w:line="256" w:lineRule="auto"/>
        <w:rPr>
          <w:rFonts w:eastAsia="Times New Roman"/>
          <w:color w:val="000000"/>
          <w:lang w:eastAsia="en-GB"/>
        </w:rPr>
      </w:pPr>
      <w:r w:rsidRPr="00BB1525">
        <w:rPr>
          <w:rFonts w:eastAsia="Times New Roman"/>
          <w:color w:val="000000"/>
          <w:lang w:eastAsia="en-GB"/>
        </w:rPr>
        <w:lastRenderedPageBreak/>
        <w:t>Impact on DSB total costs: None in 2020</w:t>
      </w:r>
      <w:r>
        <w:rPr>
          <w:rStyle w:val="FootnoteReference"/>
          <w:rFonts w:eastAsia="Times New Roman"/>
          <w:color w:val="000000"/>
          <w:lang w:eastAsia="en-GB"/>
        </w:rPr>
        <w:footnoteReference w:id="13"/>
      </w:r>
      <w:r w:rsidRPr="00BB1525">
        <w:rPr>
          <w:rFonts w:eastAsia="Times New Roman"/>
          <w:color w:val="000000"/>
          <w:lang w:eastAsia="en-GB"/>
        </w:rPr>
        <w:t>; €</w:t>
      </w:r>
      <w:r w:rsidR="00BA6E27">
        <w:rPr>
          <w:rFonts w:eastAsia="Times New Roman"/>
          <w:color w:val="000000"/>
          <w:lang w:eastAsia="en-GB"/>
        </w:rPr>
        <w:t>1</w:t>
      </w:r>
      <w:r w:rsidR="00A8063F">
        <w:rPr>
          <w:rFonts w:eastAsia="Times New Roman"/>
          <w:color w:val="000000"/>
          <w:lang w:eastAsia="en-GB"/>
        </w:rPr>
        <w:t>5</w:t>
      </w:r>
      <w:r w:rsidR="00BA6E27">
        <w:rPr>
          <w:rFonts w:eastAsia="Times New Roman"/>
          <w:color w:val="000000"/>
          <w:lang w:eastAsia="en-GB"/>
        </w:rPr>
        <w:t>5</w:t>
      </w:r>
      <w:r w:rsidRPr="00BB1525">
        <w:rPr>
          <w:rFonts w:eastAsia="Times New Roman"/>
          <w:color w:val="000000"/>
          <w:lang w:eastAsia="en-GB"/>
        </w:rPr>
        <w:t>K in 2021-24</w:t>
      </w:r>
      <w:r>
        <w:rPr>
          <w:rStyle w:val="FootnoteReference"/>
          <w:rFonts w:eastAsia="Times New Roman"/>
          <w:color w:val="000000"/>
          <w:lang w:eastAsia="en-GB"/>
        </w:rPr>
        <w:footnoteReference w:id="14"/>
      </w:r>
      <w:r w:rsidRPr="00BB1525">
        <w:rPr>
          <w:rFonts w:eastAsia="Times New Roman"/>
          <w:color w:val="000000"/>
          <w:lang w:eastAsia="en-GB"/>
        </w:rPr>
        <w:t xml:space="preserve"> (&lt;</w:t>
      </w:r>
      <w:r w:rsidR="00BA6E27">
        <w:rPr>
          <w:rFonts w:eastAsia="Times New Roman"/>
          <w:color w:val="000000"/>
          <w:lang w:eastAsia="en-GB"/>
        </w:rPr>
        <w:t>2</w:t>
      </w:r>
      <w:r w:rsidRPr="00BB1525">
        <w:rPr>
          <w:rFonts w:eastAsia="Times New Roman"/>
          <w:color w:val="000000"/>
          <w:lang w:eastAsia="en-GB"/>
        </w:rPr>
        <w:t>% increase in costs); €</w:t>
      </w:r>
      <w:r w:rsidR="004D3D64">
        <w:rPr>
          <w:rFonts w:eastAsia="Times New Roman"/>
          <w:color w:val="000000"/>
          <w:lang w:eastAsia="en-GB"/>
        </w:rPr>
        <w:t>9</w:t>
      </w:r>
      <w:r w:rsidRPr="00BB1525">
        <w:rPr>
          <w:rFonts w:eastAsia="Times New Roman"/>
          <w:color w:val="000000"/>
          <w:lang w:eastAsia="en-GB"/>
        </w:rPr>
        <w:t>0K from 2025 onwards (&lt;</w:t>
      </w:r>
      <w:r w:rsidR="00BA6E27">
        <w:rPr>
          <w:rFonts w:eastAsia="Times New Roman"/>
          <w:color w:val="000000"/>
          <w:lang w:eastAsia="en-GB"/>
        </w:rPr>
        <w:t>1.2</w:t>
      </w:r>
      <w:r w:rsidRPr="00BB1525">
        <w:rPr>
          <w:rFonts w:eastAsia="Times New Roman"/>
          <w:color w:val="000000"/>
          <w:lang w:eastAsia="en-GB"/>
        </w:rPr>
        <w:t>% increase in costs)</w:t>
      </w:r>
    </w:p>
    <w:p w14:paraId="0F49B850" w14:textId="5058810C" w:rsidR="00D426C1" w:rsidRPr="00F77EC3" w:rsidRDefault="00D426C1" w:rsidP="00DA7FD4">
      <w:pPr>
        <w:pStyle w:val="ListParagraph"/>
        <w:numPr>
          <w:ilvl w:val="0"/>
          <w:numId w:val="55"/>
        </w:numPr>
        <w:spacing w:before="240" w:after="120" w:line="276" w:lineRule="auto"/>
        <w:rPr>
          <w:u w:val="single"/>
        </w:rPr>
      </w:pPr>
      <w:r w:rsidRPr="00F77EC3">
        <w:rPr>
          <w:u w:val="single"/>
        </w:rPr>
        <w:t xml:space="preserve">Analysis </w:t>
      </w:r>
      <w:r w:rsidR="004E3CFE" w:rsidRPr="00F77EC3">
        <w:rPr>
          <w:u w:val="single"/>
        </w:rPr>
        <w:t>Phase</w:t>
      </w:r>
    </w:p>
    <w:p w14:paraId="6C6BAAC0" w14:textId="6E5B8BBD" w:rsidR="00D426C1" w:rsidRDefault="00D426C1" w:rsidP="00D166F0">
      <w:pPr>
        <w:pStyle w:val="paragraph"/>
        <w:spacing w:before="0" w:beforeAutospacing="0" w:line="276" w:lineRule="auto"/>
        <w:textAlignment w:val="baseline"/>
        <w:rPr>
          <w:rStyle w:val="normaltextrun"/>
          <w:rFonts w:asciiTheme="minorHAnsi" w:eastAsiaTheme="majorEastAsia" w:hAnsiTheme="minorHAnsi" w:cstheme="minorHAnsi"/>
          <w:sz w:val="22"/>
          <w:szCs w:val="22"/>
        </w:rPr>
      </w:pPr>
      <w:r w:rsidRPr="005D36D3">
        <w:rPr>
          <w:rStyle w:val="normaltextrun"/>
          <w:rFonts w:asciiTheme="minorHAnsi" w:eastAsiaTheme="majorEastAsia" w:hAnsiTheme="minorHAnsi" w:cstheme="minorHAnsi"/>
          <w:sz w:val="22"/>
          <w:szCs w:val="22"/>
        </w:rPr>
        <w:t xml:space="preserve">The DSB </w:t>
      </w:r>
      <w:r>
        <w:rPr>
          <w:rStyle w:val="normaltextrun"/>
          <w:rFonts w:asciiTheme="minorHAnsi" w:eastAsiaTheme="majorEastAsia" w:hAnsiTheme="minorHAnsi" w:cstheme="minorHAnsi"/>
          <w:sz w:val="22"/>
          <w:szCs w:val="22"/>
        </w:rPr>
        <w:t xml:space="preserve">would </w:t>
      </w:r>
      <w:r w:rsidR="00724405">
        <w:rPr>
          <w:rStyle w:val="normaltextrun"/>
          <w:rFonts w:asciiTheme="minorHAnsi" w:eastAsiaTheme="majorEastAsia" w:hAnsiTheme="minorHAnsi" w:cstheme="minorHAnsi"/>
          <w:sz w:val="22"/>
          <w:szCs w:val="22"/>
        </w:rPr>
        <w:t xml:space="preserve">perform business and technical </w:t>
      </w:r>
      <w:r w:rsidR="00724405" w:rsidRPr="00D166F0">
        <w:rPr>
          <w:rStyle w:val="normaltextrun"/>
          <w:rFonts w:asciiTheme="minorHAnsi" w:eastAsiaTheme="majorEastAsia" w:hAnsiTheme="minorHAnsi" w:cstheme="minorHAnsi"/>
          <w:sz w:val="22"/>
          <w:szCs w:val="22"/>
        </w:rPr>
        <w:t>analysis</w:t>
      </w:r>
      <w:r w:rsidR="00D166F0" w:rsidRPr="00D166F0">
        <w:rPr>
          <w:rStyle w:val="normaltextrun"/>
          <w:rFonts w:asciiTheme="minorHAnsi" w:eastAsiaTheme="majorEastAsia" w:hAnsiTheme="minorHAnsi" w:cstheme="minorHAnsi"/>
          <w:sz w:val="22"/>
          <w:szCs w:val="22"/>
        </w:rPr>
        <w:t xml:space="preserve"> </w:t>
      </w:r>
      <w:r w:rsidR="00D166F0" w:rsidRPr="00F77EC3">
        <w:rPr>
          <w:rFonts w:asciiTheme="minorHAnsi" w:hAnsiTheme="minorHAnsi" w:cstheme="minorHAnsi"/>
          <w:sz w:val="22"/>
          <w:szCs w:val="22"/>
        </w:rPr>
        <w:t>to document the specific workflows required to source, integrate and publish the additional information in DSB CDS product templates</w:t>
      </w:r>
      <w:r w:rsidR="00D166F0">
        <w:rPr>
          <w:rFonts w:asciiTheme="minorHAnsi" w:hAnsiTheme="minorHAnsi" w:cstheme="minorHAnsi"/>
          <w:sz w:val="22"/>
          <w:szCs w:val="22"/>
        </w:rPr>
        <w:t xml:space="preserve">. The DSB would </w:t>
      </w:r>
      <w:r w:rsidR="00724405" w:rsidRPr="00D166F0">
        <w:rPr>
          <w:rStyle w:val="normaltextrun"/>
          <w:rFonts w:asciiTheme="minorHAnsi" w:eastAsiaTheme="majorEastAsia" w:hAnsiTheme="minorHAnsi" w:cstheme="minorHAnsi"/>
          <w:sz w:val="22"/>
          <w:szCs w:val="22"/>
        </w:rPr>
        <w:t>work with the PC and the TAC to</w:t>
      </w:r>
      <w:r w:rsidR="00724405">
        <w:rPr>
          <w:rStyle w:val="normaltextrun"/>
          <w:rFonts w:asciiTheme="minorHAnsi" w:eastAsiaTheme="majorEastAsia" w:hAnsiTheme="minorHAnsi" w:cstheme="minorHAnsi"/>
          <w:sz w:val="22"/>
          <w:szCs w:val="22"/>
        </w:rPr>
        <w:t xml:space="preserve"> determine the best mechanism </w:t>
      </w:r>
      <w:r w:rsidRPr="005D36D3">
        <w:rPr>
          <w:rStyle w:val="normaltextrun"/>
          <w:rFonts w:asciiTheme="minorHAnsi" w:eastAsiaTheme="majorEastAsia" w:hAnsiTheme="minorHAnsi" w:cstheme="minorHAnsi"/>
          <w:sz w:val="22"/>
          <w:szCs w:val="22"/>
        </w:rPr>
        <w:t xml:space="preserve">to </w:t>
      </w:r>
      <w:r w:rsidR="00724405">
        <w:rPr>
          <w:rStyle w:val="normaltextrun"/>
          <w:rFonts w:asciiTheme="minorHAnsi" w:eastAsiaTheme="majorEastAsia" w:hAnsiTheme="minorHAnsi" w:cstheme="minorHAnsi"/>
          <w:sz w:val="22"/>
          <w:szCs w:val="22"/>
        </w:rPr>
        <w:t xml:space="preserve">leverage the </w:t>
      </w:r>
      <w:r w:rsidRPr="005D36D3">
        <w:rPr>
          <w:rStyle w:val="normaltextrun"/>
          <w:rFonts w:asciiTheme="minorHAnsi" w:eastAsiaTheme="majorEastAsia" w:hAnsiTheme="minorHAnsi" w:cstheme="minorHAnsi"/>
          <w:sz w:val="22"/>
          <w:szCs w:val="22"/>
        </w:rPr>
        <w:t xml:space="preserve">LEI-ISIN mapping </w:t>
      </w:r>
      <w:r>
        <w:rPr>
          <w:rStyle w:val="normaltextrun"/>
          <w:rFonts w:asciiTheme="minorHAnsi" w:eastAsiaTheme="majorEastAsia" w:hAnsiTheme="minorHAnsi" w:cstheme="minorHAnsi"/>
          <w:sz w:val="22"/>
          <w:szCs w:val="22"/>
        </w:rPr>
        <w:t xml:space="preserve">service </w:t>
      </w:r>
      <w:r w:rsidRPr="005D36D3">
        <w:rPr>
          <w:rStyle w:val="normaltextrun"/>
          <w:rFonts w:asciiTheme="minorHAnsi" w:eastAsiaTheme="majorEastAsia" w:hAnsiTheme="minorHAnsi" w:cstheme="minorHAnsi"/>
          <w:sz w:val="22"/>
          <w:szCs w:val="22"/>
        </w:rPr>
        <w:t xml:space="preserve">in order to </w:t>
      </w:r>
      <w:r w:rsidR="00724405">
        <w:rPr>
          <w:rStyle w:val="normaltextrun"/>
          <w:rFonts w:asciiTheme="minorHAnsi" w:eastAsiaTheme="majorEastAsia" w:hAnsiTheme="minorHAnsi" w:cstheme="minorHAnsi"/>
          <w:sz w:val="22"/>
          <w:szCs w:val="22"/>
        </w:rPr>
        <w:t xml:space="preserve">enrich the </w:t>
      </w:r>
      <w:r w:rsidR="00815088">
        <w:rPr>
          <w:rStyle w:val="normaltextrun"/>
          <w:rFonts w:asciiTheme="minorHAnsi" w:eastAsiaTheme="majorEastAsia" w:hAnsiTheme="minorHAnsi" w:cstheme="minorHAnsi"/>
          <w:sz w:val="22"/>
          <w:szCs w:val="22"/>
        </w:rPr>
        <w:t xml:space="preserve">CDS </w:t>
      </w:r>
      <w:r w:rsidR="00DB0898">
        <w:rPr>
          <w:rStyle w:val="normaltextrun"/>
          <w:rFonts w:asciiTheme="minorHAnsi" w:eastAsiaTheme="majorEastAsia" w:hAnsiTheme="minorHAnsi" w:cstheme="minorHAnsi"/>
          <w:sz w:val="22"/>
          <w:szCs w:val="22"/>
        </w:rPr>
        <w:t>O</w:t>
      </w:r>
      <w:r w:rsidR="00DB0898">
        <w:rPr>
          <w:rFonts w:asciiTheme="minorHAnsi" w:eastAsiaTheme="minorHAnsi" w:hAnsiTheme="minorHAnsi" w:cstheme="minorBidi"/>
          <w:sz w:val="22"/>
          <w:szCs w:val="22"/>
          <w:u w:val="single"/>
          <w:lang w:eastAsia="en-US"/>
        </w:rPr>
        <w:t xml:space="preserve">TC-ISIN </w:t>
      </w:r>
      <w:r w:rsidR="00724405">
        <w:rPr>
          <w:rStyle w:val="normaltextrun"/>
          <w:rFonts w:asciiTheme="minorHAnsi" w:eastAsiaTheme="majorEastAsia" w:hAnsiTheme="minorHAnsi" w:cstheme="minorHAnsi"/>
          <w:sz w:val="22"/>
          <w:szCs w:val="22"/>
        </w:rPr>
        <w:t xml:space="preserve">record with </w:t>
      </w:r>
      <w:r w:rsidRPr="005D36D3">
        <w:rPr>
          <w:rStyle w:val="normaltextrun"/>
          <w:rFonts w:asciiTheme="minorHAnsi" w:eastAsiaTheme="majorEastAsia" w:hAnsiTheme="minorHAnsi" w:cstheme="minorHAnsi"/>
          <w:sz w:val="22"/>
          <w:szCs w:val="22"/>
        </w:rPr>
        <w:t>the LEI in all instances where it is available</w:t>
      </w:r>
      <w:r>
        <w:rPr>
          <w:rStyle w:val="normaltextrun"/>
          <w:rFonts w:asciiTheme="minorHAnsi" w:eastAsiaTheme="majorEastAsia" w:hAnsiTheme="minorHAnsi" w:cstheme="minorHAnsi"/>
          <w:sz w:val="22"/>
          <w:szCs w:val="22"/>
        </w:rPr>
        <w:t xml:space="preserve">. </w:t>
      </w:r>
    </w:p>
    <w:p w14:paraId="1A307C1A" w14:textId="281262B7" w:rsidR="00D426C1" w:rsidRPr="00DA7FD4" w:rsidRDefault="005B6C7A" w:rsidP="00DA7FD4">
      <w:pPr>
        <w:pStyle w:val="paragraph"/>
        <w:spacing w:before="0" w:beforeAutospacing="0" w:line="276" w:lineRule="auto"/>
        <w:textAlignment w:val="baseline"/>
        <w:rPr>
          <w:rStyle w:val="normaltextrun"/>
          <w:rFonts w:asciiTheme="minorHAnsi" w:eastAsiaTheme="majorEastAsia" w:hAnsiTheme="minorHAnsi" w:cstheme="minorHAnsi"/>
          <w:sz w:val="22"/>
          <w:szCs w:val="22"/>
        </w:rPr>
      </w:pPr>
      <w:r w:rsidRPr="00DA7FD4">
        <w:rPr>
          <w:rStyle w:val="normaltextrun"/>
          <w:rFonts w:asciiTheme="minorHAnsi" w:eastAsiaTheme="majorEastAsia" w:hAnsiTheme="minorHAnsi" w:cstheme="minorHAnsi"/>
          <w:sz w:val="22"/>
          <w:szCs w:val="22"/>
        </w:rPr>
        <w:t xml:space="preserve">The analysis would provide information about </w:t>
      </w:r>
      <w:r w:rsidR="00815088">
        <w:rPr>
          <w:rStyle w:val="normaltextrun"/>
          <w:rFonts w:asciiTheme="minorHAnsi" w:eastAsiaTheme="majorEastAsia" w:hAnsiTheme="minorHAnsi" w:cstheme="minorHAnsi"/>
          <w:sz w:val="22"/>
          <w:szCs w:val="22"/>
        </w:rPr>
        <w:t xml:space="preserve">any </w:t>
      </w:r>
      <w:r w:rsidRPr="00DA7FD4">
        <w:rPr>
          <w:rStyle w:val="normaltextrun"/>
          <w:rFonts w:asciiTheme="minorHAnsi" w:eastAsiaTheme="majorEastAsia" w:hAnsiTheme="minorHAnsi" w:cstheme="minorHAnsi"/>
          <w:sz w:val="22"/>
          <w:szCs w:val="22"/>
        </w:rPr>
        <w:t>updates to historical reference data records to reflect the LEI where available, and also forward-looking integration at the point of ISIN creation. Analysis would also provide for information about the infrastructure, one-off development and deployment costs and annual run cost to support the service.</w:t>
      </w:r>
      <w:r w:rsidR="00D426C1" w:rsidRPr="00DA7FD4">
        <w:rPr>
          <w:rStyle w:val="normaltextrun"/>
          <w:rFonts w:asciiTheme="minorHAnsi" w:eastAsiaTheme="majorEastAsia" w:hAnsiTheme="minorHAnsi" w:cstheme="minorHAnsi"/>
          <w:sz w:val="22"/>
          <w:szCs w:val="22"/>
        </w:rPr>
        <w:t xml:space="preserve"> </w:t>
      </w:r>
    </w:p>
    <w:p w14:paraId="4A0AF960" w14:textId="3A5E83C4" w:rsidR="00D426C1" w:rsidRDefault="00D426C1" w:rsidP="00D426C1">
      <w:pPr>
        <w:spacing w:after="120" w:line="276" w:lineRule="auto"/>
      </w:pPr>
      <w:r>
        <w:t xml:space="preserve">Work would be time-boxed to six months in order to </w:t>
      </w:r>
      <w:r w:rsidR="00DD29ED">
        <w:t xml:space="preserve">provide a defined timeline to </w:t>
      </w:r>
      <w:r>
        <w:t xml:space="preserve">implementation. </w:t>
      </w:r>
    </w:p>
    <w:p w14:paraId="56F1CD92" w14:textId="77777777" w:rsidR="004E3CFE" w:rsidRDefault="004E3CFE" w:rsidP="00D426C1">
      <w:pPr>
        <w:spacing w:after="120" w:line="276" w:lineRule="auto"/>
      </w:pPr>
    </w:p>
    <w:p w14:paraId="260C524C" w14:textId="200B9C52" w:rsidR="00D426C1" w:rsidRPr="0003119F" w:rsidRDefault="00D426C1" w:rsidP="00D426C1">
      <w:pPr>
        <w:spacing w:after="120" w:line="276" w:lineRule="auto"/>
        <w:rPr>
          <w:u w:val="single"/>
        </w:rPr>
      </w:pPr>
      <w:r w:rsidRPr="0003119F">
        <w:rPr>
          <w:u w:val="single"/>
        </w:rPr>
        <w:t xml:space="preserve">b) </w:t>
      </w:r>
      <w:r w:rsidR="004E3CFE">
        <w:rPr>
          <w:u w:val="single"/>
        </w:rPr>
        <w:t>Implementation Phase</w:t>
      </w:r>
      <w:r w:rsidR="004E3CFE" w:rsidRPr="0003119F">
        <w:rPr>
          <w:u w:val="single"/>
        </w:rPr>
        <w:t xml:space="preserve"> </w:t>
      </w:r>
    </w:p>
    <w:p w14:paraId="41BDE416" w14:textId="1E76C160" w:rsidR="00D426C1" w:rsidRDefault="00DD29ED" w:rsidP="00D426C1">
      <w:pPr>
        <w:spacing w:after="120" w:line="276" w:lineRule="auto"/>
      </w:pPr>
      <w:r>
        <w:t>T</w:t>
      </w:r>
      <w:r w:rsidR="00D426C1">
        <w:t>he DSB forecasts development cost of €200k</w:t>
      </w:r>
      <w:r>
        <w:t>, including all overheads such as infrastructure, development and testing costs and the financial sustainability margin.</w:t>
      </w:r>
      <w:r w:rsidR="002E5F75">
        <w:t xml:space="preserve"> </w:t>
      </w:r>
      <w:r w:rsidR="00C900E1">
        <w:t xml:space="preserve"> </w:t>
      </w:r>
    </w:p>
    <w:p w14:paraId="6DF8F31F" w14:textId="77777777" w:rsidR="004E3CFE" w:rsidRDefault="004E3CFE" w:rsidP="00D426C1">
      <w:pPr>
        <w:spacing w:after="120" w:line="276" w:lineRule="auto"/>
      </w:pPr>
    </w:p>
    <w:p w14:paraId="2BB59327" w14:textId="3387577C" w:rsidR="00DD29ED" w:rsidRPr="0003119F" w:rsidRDefault="00DD29ED" w:rsidP="00DD29ED">
      <w:pPr>
        <w:spacing w:after="120" w:line="276" w:lineRule="auto"/>
        <w:rPr>
          <w:u w:val="single"/>
        </w:rPr>
      </w:pPr>
      <w:r>
        <w:rPr>
          <w:u w:val="single"/>
        </w:rPr>
        <w:t>c</w:t>
      </w:r>
      <w:r w:rsidRPr="0003119F">
        <w:rPr>
          <w:u w:val="single"/>
        </w:rPr>
        <w:t xml:space="preserve">) </w:t>
      </w:r>
      <w:r>
        <w:rPr>
          <w:u w:val="single"/>
        </w:rPr>
        <w:t>Annual Run Costs</w:t>
      </w:r>
      <w:r w:rsidRPr="0003119F">
        <w:rPr>
          <w:u w:val="single"/>
        </w:rPr>
        <w:t xml:space="preserve"> </w:t>
      </w:r>
    </w:p>
    <w:p w14:paraId="258E04C2" w14:textId="68D7BA2D" w:rsidR="00DD29ED" w:rsidRDefault="00DD29ED" w:rsidP="00DD29ED">
      <w:pPr>
        <w:spacing w:after="120" w:line="276" w:lineRule="auto"/>
      </w:pPr>
      <w:r>
        <w:t>The DSB forecasts on-going annual costs of €</w:t>
      </w:r>
      <w:r w:rsidR="004A156D">
        <w:t>9</w:t>
      </w:r>
      <w:r w:rsidR="00506D98">
        <w:t>0</w:t>
      </w:r>
      <w:r>
        <w:t>k</w:t>
      </w:r>
      <w:r w:rsidR="004A156D">
        <w:t xml:space="preserve">. This figure includes a provision of 0.5 FTE to support the data quality questions that may arise as a result of integration to the third-party data source as well as </w:t>
      </w:r>
      <w:r>
        <w:t xml:space="preserve">all overheads such as infrastructure, </w:t>
      </w:r>
      <w:r w:rsidR="004A156D">
        <w:t xml:space="preserve">system </w:t>
      </w:r>
      <w:r>
        <w:t xml:space="preserve">support costs and the financial sustainability margin. </w:t>
      </w:r>
    </w:p>
    <w:p w14:paraId="4EA1ECB2" w14:textId="01BC290D" w:rsidR="00DD29ED" w:rsidRPr="00DD29ED" w:rsidRDefault="00DD29ED" w:rsidP="00DD29ED">
      <w:pPr>
        <w:spacing w:before="100" w:beforeAutospacing="1" w:after="100" w:afterAutospacing="1" w:line="276" w:lineRule="auto"/>
        <w:textAlignment w:val="baseline"/>
        <w:rPr>
          <w:rFonts w:eastAsia="Times New Roman"/>
          <w:color w:val="000000"/>
          <w:lang w:eastAsia="en-GB"/>
        </w:rPr>
      </w:pPr>
      <w:r>
        <w:rPr>
          <w:rFonts w:eastAsia="Times New Roman"/>
          <w:color w:val="000000"/>
          <w:lang w:eastAsia="en-GB"/>
        </w:rPr>
        <w:t xml:space="preserve">The </w:t>
      </w:r>
      <w:r w:rsidRPr="00BB7F10">
        <w:rPr>
          <w:rFonts w:eastAsia="Times New Roman"/>
          <w:color w:val="000000"/>
          <w:lang w:eastAsia="en-GB"/>
        </w:rPr>
        <w:t xml:space="preserve">DSB </w:t>
      </w:r>
      <w:r>
        <w:rPr>
          <w:rFonts w:eastAsia="Times New Roman"/>
          <w:color w:val="000000"/>
          <w:lang w:eastAsia="en-GB"/>
        </w:rPr>
        <w:t xml:space="preserve">commits that it </w:t>
      </w:r>
      <w:r w:rsidRPr="00BB7F10">
        <w:rPr>
          <w:rFonts w:eastAsia="Times New Roman"/>
          <w:color w:val="000000"/>
          <w:lang w:eastAsia="en-GB"/>
        </w:rPr>
        <w:t xml:space="preserve">will not progress </w:t>
      </w:r>
      <w:r>
        <w:rPr>
          <w:rFonts w:eastAsia="Times New Roman"/>
          <w:color w:val="000000"/>
          <w:lang w:eastAsia="en-GB"/>
        </w:rPr>
        <w:t xml:space="preserve">implementation without prior industry input, in the event the analysis determines that </w:t>
      </w:r>
      <w:r w:rsidRPr="00BB7F10">
        <w:rPr>
          <w:rFonts w:eastAsia="Times New Roman"/>
          <w:color w:val="000000"/>
          <w:lang w:eastAsia="en-GB"/>
        </w:rPr>
        <w:t>build cos</w:t>
      </w:r>
      <w:r>
        <w:rPr>
          <w:rFonts w:eastAsia="Times New Roman"/>
          <w:color w:val="000000"/>
          <w:lang w:eastAsia="en-GB"/>
        </w:rPr>
        <w:t xml:space="preserve">t or run cost is expected to </w:t>
      </w:r>
      <w:r w:rsidRPr="00BB7F10">
        <w:rPr>
          <w:rFonts w:eastAsia="Times New Roman"/>
          <w:color w:val="000000"/>
          <w:lang w:eastAsia="en-GB"/>
        </w:rPr>
        <w:t>exceed the amounts set out in this document</w:t>
      </w:r>
      <w:r>
        <w:rPr>
          <w:rFonts w:eastAsia="Times New Roman"/>
          <w:color w:val="000000"/>
          <w:lang w:eastAsia="en-GB"/>
        </w:rPr>
        <w:t xml:space="preserve">. </w:t>
      </w:r>
      <w:r w:rsidRPr="00BB7F10">
        <w:rPr>
          <w:rFonts w:eastAsia="Times New Roman"/>
          <w:color w:val="000000"/>
          <w:lang w:eastAsia="en-GB"/>
        </w:rPr>
        <w:t> </w:t>
      </w:r>
    </w:p>
    <w:p w14:paraId="6AA06DEB" w14:textId="2A7F76BF" w:rsidR="007E6F58" w:rsidRDefault="00B27BD3" w:rsidP="007E6F58">
      <w:pPr>
        <w:rPr>
          <w:rFonts w:ascii="Calibri" w:eastAsia="Times New Roman" w:hAnsi="Calibri" w:cs="Calibri"/>
          <w:color w:val="000000"/>
          <w:lang w:eastAsia="en-GB"/>
        </w:rPr>
      </w:pPr>
      <w:r w:rsidRPr="00BB1525">
        <w:rPr>
          <w:noProof/>
          <w:lang w:eastAsia="en-GB"/>
        </w:rPr>
        <mc:AlternateContent>
          <mc:Choice Requires="wps">
            <w:drawing>
              <wp:anchor distT="45720" distB="45720" distL="114300" distR="114300" simplePos="0" relativeHeight="251654144" behindDoc="1" locked="0" layoutInCell="1" allowOverlap="1" wp14:anchorId="0C37F331" wp14:editId="6AD7688D">
                <wp:simplePos x="0" y="0"/>
                <wp:positionH relativeFrom="margin">
                  <wp:posOffset>-2540</wp:posOffset>
                </wp:positionH>
                <wp:positionV relativeFrom="paragraph">
                  <wp:posOffset>297180</wp:posOffset>
                </wp:positionV>
                <wp:extent cx="5716905" cy="1404620"/>
                <wp:effectExtent l="0" t="0" r="17145" b="21590"/>
                <wp:wrapTight wrapText="bothSides">
                  <wp:wrapPolygon edited="0">
                    <wp:start x="0" y="0"/>
                    <wp:lineTo x="0" y="21676"/>
                    <wp:lineTo x="21593" y="21676"/>
                    <wp:lineTo x="21593"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70D8964" w14:textId="3C8D5420" w:rsidR="00D52BA4" w:rsidRDefault="00D52BA4" w:rsidP="00013CC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DD29ED">
                              <w:rPr>
                                <w:rStyle w:val="eop"/>
                                <w:rFonts w:ascii="Calibri" w:eastAsiaTheme="majorEastAsia" w:hAnsi="Calibri" w:cs="Calibri"/>
                                <w:sz w:val="22"/>
                                <w:szCs w:val="22"/>
                              </w:rPr>
                              <w:t xml:space="preserve">Do you concur with the DSB’s proposal </w:t>
                            </w:r>
                            <w:r>
                              <w:rPr>
                                <w:rStyle w:val="eop"/>
                                <w:rFonts w:ascii="Calibri" w:eastAsiaTheme="majorEastAsia" w:hAnsi="Calibri" w:cs="Calibri"/>
                                <w:sz w:val="22"/>
                                <w:szCs w:val="22"/>
                              </w:rPr>
                              <w:t>for the build of the LEI-ISIN mapping service for CDS single names?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37F331" id="Text Box 28" o:spid="_x0000_s1048" type="#_x0000_t202" style="position:absolute;margin-left:-.2pt;margin-top:23.4pt;width:450.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">
                <v:textbox style="mso-fit-shape-to-text:t">
                  <w:txbxContent>
                    <w:p w14:paraId="670D8964" w14:textId="3C8D5420" w:rsidR="00D52BA4" w:rsidRDefault="00D52BA4" w:rsidP="00013CC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DD29ED">
                        <w:rPr>
                          <w:rStyle w:val="eop"/>
                          <w:rFonts w:ascii="Calibri" w:eastAsiaTheme="majorEastAsia" w:hAnsi="Calibri" w:cs="Calibri"/>
                          <w:sz w:val="22"/>
                          <w:szCs w:val="22"/>
                        </w:rPr>
                        <w:t xml:space="preserve">Do you concur with the DSB’s proposal </w:t>
                      </w:r>
                      <w:r>
                        <w:rPr>
                          <w:rStyle w:val="eop"/>
                          <w:rFonts w:ascii="Calibri" w:eastAsiaTheme="majorEastAsia" w:hAnsi="Calibri" w:cs="Calibri"/>
                          <w:sz w:val="22"/>
                          <w:szCs w:val="22"/>
                        </w:rPr>
                        <w:t>for the build of the LEI-ISIN mapping service for CDS single names?</w:t>
                      </w:r>
                    </w:p>
                  </w:txbxContent>
                </v:textbox>
                <w10:wrap type="tight" anchorx="margin"/>
              </v:shape>
            </w:pict>
          </mc:Fallback>
        </mc:AlternateContent>
      </w:r>
    </w:p>
    <w:bookmarkStart w:id="73" w:name="_Ref13073718"/>
    <w:bookmarkStart w:id="74" w:name="_Toc13087141"/>
    <w:bookmarkStart w:id="75" w:name="_Toc13157228"/>
    <w:p w14:paraId="27A5BFCB" w14:textId="0B42F7BA" w:rsidR="007E6F58" w:rsidRDefault="00FA7CBE" w:rsidP="007E6F58">
      <w:pPr>
        <w:pStyle w:val="Heading3"/>
      </w:pPr>
      <w:r>
        <w:rPr>
          <w:noProof/>
          <w:lang w:eastAsia="en-GB"/>
        </w:rPr>
        <w:lastRenderedPageBreak/>
        <mc:AlternateContent>
          <mc:Choice Requires="wps">
            <w:drawing>
              <wp:anchor distT="45720" distB="45720" distL="114300" distR="114300" simplePos="0" relativeHeight="251664384" behindDoc="0" locked="0" layoutInCell="1" allowOverlap="1" wp14:anchorId="1479760E" wp14:editId="64D2E347">
                <wp:simplePos x="0" y="0"/>
                <wp:positionH relativeFrom="margin">
                  <wp:align>right</wp:align>
                </wp:positionH>
                <wp:positionV relativeFrom="paragraph">
                  <wp:posOffset>293535</wp:posOffset>
                </wp:positionV>
                <wp:extent cx="5716905" cy="1404620"/>
                <wp:effectExtent l="0" t="0" r="17145" b="1968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1C0D389" w14:textId="47AB2086" w:rsidR="00D52BA4" w:rsidRPr="007E6F58" w:rsidRDefault="00D52BA4" w:rsidP="007E6F58">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7E6F58">
                              <w:rPr>
                                <w:rStyle w:val="normaltextrun"/>
                                <w:rFonts w:ascii="Calibri" w:hAnsi="Calibri" w:cs="Calibri"/>
                                <w:color w:val="000000"/>
                                <w:sz w:val="22"/>
                                <w:szCs w:val="22"/>
                              </w:rPr>
                              <w:t xml:space="preserve">Users have suggested that the DSB should leverage the recently developed ISIN-LEI mapping facility to support data submission for Credit Default Swaps (CDS), so that use of the DSB’s Corporate CDS product template only allows underlying corporate bond ISINs to be input by users. The same principle also extends to the use of each of the Municipal and Sovereign CDS product templates.  </w:t>
                            </w:r>
                          </w:p>
                          <w:p w14:paraId="6D801DBC" w14:textId="77777777" w:rsidR="00D52BA4" w:rsidRPr="007E6F58" w:rsidRDefault="00D52BA4" w:rsidP="007E6F58">
                            <w:pPr>
                              <w:pStyle w:val="paragraph"/>
                              <w:spacing w:before="240" w:after="120" w:line="276" w:lineRule="auto"/>
                              <w:textAlignment w:val="baseline"/>
                              <w:rPr>
                                <w:rStyle w:val="normaltextrun"/>
                                <w:rFonts w:ascii="Calibri" w:hAnsi="Calibri" w:cs="Calibri"/>
                                <w:color w:val="000000"/>
                                <w:sz w:val="22"/>
                                <w:szCs w:val="22"/>
                              </w:rPr>
                            </w:pPr>
                            <w:r w:rsidRPr="007E6F58">
                              <w:rPr>
                                <w:rStyle w:val="normaltextrun"/>
                                <w:rFonts w:ascii="Calibri" w:hAnsi="Calibri" w:cs="Calibri"/>
                                <w:color w:val="000000"/>
                                <w:sz w:val="22"/>
                                <w:szCs w:val="22"/>
                              </w:rPr>
                              <w:t xml:space="preserve">Such an enhancement would mean that a user attempting to create a Corporate CDS would not be able to submit an underlying bond ISIN associated with a LEI mapped to a sovereign issuer. </w:t>
                            </w:r>
                          </w:p>
                          <w:p w14:paraId="66B83DC6" w14:textId="61CC755A" w:rsidR="00D52BA4" w:rsidRDefault="00D52BA4" w:rsidP="007E6F58">
                            <w:r>
                              <w:rPr>
                                <w:rStyle w:val="normaltextrun"/>
                                <w:rFonts w:ascii="Calibri" w:hAnsi="Calibri" w:cs="Calibri"/>
                                <w:b/>
                                <w:bCs/>
                                <w:color w:val="000000"/>
                              </w:rPr>
                              <w:t xml:space="preserve">CP1 Question: </w:t>
                            </w:r>
                            <w:r>
                              <w:rPr>
                                <w:rStyle w:val="normaltextrun"/>
                                <w:rFonts w:ascii="Calibri" w:hAnsi="Calibri" w:cs="Calibri"/>
                                <w:color w:val="000000"/>
                              </w:rPr>
                              <w:t>D</w:t>
                            </w:r>
                            <w:r w:rsidRPr="007E6F58">
                              <w:rPr>
                                <w:rStyle w:val="normaltextrun"/>
                                <w:rFonts w:ascii="Calibri" w:hAnsi="Calibri" w:cs="Calibri"/>
                                <w:color w:val="000000"/>
                              </w:rPr>
                              <w:t xml:space="preserve">o you want the DSB to investigate the provision of supplemental data alongside that contained in the new LEI-ISIN mapping API in order to systematically validate whether the underlying ISIN provided by the user at the time of ISIN creation maps to the type of reference data, the user is seeking to create?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79760E" id="_x0000_s1049" type="#_x0000_t202" style="position:absolute;left:0;text-align:left;margin-left:398.95pt;margin-top:23.1pt;width:450.1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Y0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">
                <v:textbox style="mso-fit-shape-to-text:t">
                  <w:txbxContent>
                    <w:p w14:paraId="51C0D389" w14:textId="47AB2086" w:rsidR="00D52BA4" w:rsidRPr="007E6F58" w:rsidRDefault="00D52BA4" w:rsidP="007E6F58">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7E6F58">
                        <w:rPr>
                          <w:rStyle w:val="normaltextrun"/>
                          <w:rFonts w:ascii="Calibri" w:hAnsi="Calibri" w:cs="Calibri"/>
                          <w:color w:val="000000"/>
                          <w:sz w:val="22"/>
                          <w:szCs w:val="22"/>
                        </w:rPr>
                        <w:t xml:space="preserve">Users have suggested that the DSB should leverage the recently developed ISIN-LEI mapping facility to support data submission for Credit Default Swaps (CDS), so that use of the DSB’s Corporate CDS product template only allows underlying corporate bond ISINs to be input by users. The same principle also extends to the use of each of the Municipal and Sovereign CDS product templates.  </w:t>
                      </w:r>
                    </w:p>
                    <w:p w14:paraId="6D801DBC" w14:textId="77777777" w:rsidR="00D52BA4" w:rsidRPr="007E6F58" w:rsidRDefault="00D52BA4" w:rsidP="007E6F58">
                      <w:pPr>
                        <w:pStyle w:val="paragraph"/>
                        <w:spacing w:before="240" w:after="120" w:line="276" w:lineRule="auto"/>
                        <w:textAlignment w:val="baseline"/>
                        <w:rPr>
                          <w:rStyle w:val="normaltextrun"/>
                          <w:rFonts w:ascii="Calibri" w:hAnsi="Calibri" w:cs="Calibri"/>
                          <w:color w:val="000000"/>
                          <w:sz w:val="22"/>
                          <w:szCs w:val="22"/>
                        </w:rPr>
                      </w:pPr>
                      <w:r w:rsidRPr="007E6F58">
                        <w:rPr>
                          <w:rStyle w:val="normaltextrun"/>
                          <w:rFonts w:ascii="Calibri" w:hAnsi="Calibri" w:cs="Calibri"/>
                          <w:color w:val="000000"/>
                          <w:sz w:val="22"/>
                          <w:szCs w:val="22"/>
                        </w:rPr>
                        <w:t xml:space="preserve">Such an enhancement would mean that a user attempting to create a Corporate CDS would not be able to submit an underlying bond ISIN associated with a LEI mapped to a sovereign issuer. </w:t>
                      </w:r>
                    </w:p>
                    <w:p w14:paraId="66B83DC6" w14:textId="61CC755A" w:rsidR="00D52BA4" w:rsidRDefault="00D52BA4" w:rsidP="007E6F58">
                      <w:r>
                        <w:rPr>
                          <w:rStyle w:val="normaltextrun"/>
                          <w:rFonts w:ascii="Calibri" w:hAnsi="Calibri" w:cs="Calibri"/>
                          <w:b/>
                          <w:bCs/>
                          <w:color w:val="000000"/>
                        </w:rPr>
                        <w:t xml:space="preserve">CP1 Question: </w:t>
                      </w:r>
                      <w:r>
                        <w:rPr>
                          <w:rStyle w:val="normaltextrun"/>
                          <w:rFonts w:ascii="Calibri" w:hAnsi="Calibri" w:cs="Calibri"/>
                          <w:color w:val="000000"/>
                        </w:rPr>
                        <w:t>D</w:t>
                      </w:r>
                      <w:r w:rsidRPr="007E6F58">
                        <w:rPr>
                          <w:rStyle w:val="normaltextrun"/>
                          <w:rFonts w:ascii="Calibri" w:hAnsi="Calibri" w:cs="Calibri"/>
                          <w:color w:val="000000"/>
                        </w:rPr>
                        <w:t xml:space="preserve">o you want the DSB to investigate the provision of supplemental data alongside that contained in the new LEI-ISIN mapping API in order to systematically validate whether the underlying ISIN provided by the user at the time of ISIN creation maps to the type of reference data, the user is seeking to create?   </w:t>
                      </w:r>
                    </w:p>
                  </w:txbxContent>
                </v:textbox>
                <w10:wrap type="square" anchorx="margin"/>
              </v:shape>
            </w:pict>
          </mc:Fallback>
        </mc:AlternateContent>
      </w:r>
      <w:r w:rsidR="007E6F58">
        <w:t xml:space="preserve">Q2.2(c) – </w:t>
      </w:r>
      <w:r w:rsidR="00B3251C">
        <w:t>VALIDATION OF CDS SINGLE NAME</w:t>
      </w:r>
      <w:bookmarkEnd w:id="73"/>
      <w:bookmarkEnd w:id="74"/>
      <w:bookmarkEnd w:id="75"/>
    </w:p>
    <w:p w14:paraId="1CBB860C" w14:textId="107B894D" w:rsidR="007E6F58" w:rsidRDefault="00FA7CBE" w:rsidP="00F77EC3">
      <w:pPr>
        <w:spacing w:before="240"/>
        <w:rPr>
          <w:u w:val="single"/>
        </w:rPr>
      </w:pPr>
      <w:r>
        <w:rPr>
          <w:u w:val="single"/>
        </w:rPr>
        <w:t>Industry Responses</w:t>
      </w:r>
    </w:p>
    <w:p w14:paraId="68DE7F3F" w14:textId="1976AD26" w:rsidR="00FA7CBE" w:rsidRDefault="00FA7CBE" w:rsidP="00F77EC3">
      <w:pPr>
        <w:spacing w:before="240" w:after="0" w:line="276" w:lineRule="auto"/>
      </w:pPr>
      <w:r>
        <w:t xml:space="preserve">The responses received to the question posed in the first consultation are set out below. </w:t>
      </w:r>
    </w:p>
    <w:tbl>
      <w:tblPr>
        <w:tblW w:w="3297"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1985"/>
        <w:gridCol w:w="656"/>
        <w:gridCol w:w="656"/>
      </w:tblGrid>
      <w:tr w:rsidR="00FE07E2" w:rsidRPr="00FE07E2" w14:paraId="1351B0C3" w14:textId="77777777" w:rsidTr="00815088">
        <w:trPr>
          <w:trHeight w:val="576"/>
        </w:trPr>
        <w:tc>
          <w:tcPr>
            <w:tcW w:w="1985" w:type="dxa"/>
            <w:vMerge w:val="restart"/>
            <w:shd w:val="clear" w:color="auto" w:fill="auto"/>
            <w:noWrap/>
            <w:vAlign w:val="center"/>
            <w:hideMark/>
          </w:tcPr>
          <w:p w14:paraId="4C636AC0" w14:textId="77777777" w:rsidR="00FE07E2" w:rsidRPr="00FE07E2" w:rsidRDefault="00FE07E2" w:rsidP="00FE07E2">
            <w:pPr>
              <w:spacing w:after="0" w:line="240" w:lineRule="auto"/>
              <w:rPr>
                <w:rFonts w:ascii="Times New Roman" w:eastAsia="Times New Roman" w:hAnsi="Times New Roman" w:cs="Times New Roman"/>
                <w:sz w:val="24"/>
                <w:szCs w:val="24"/>
                <w:lang w:eastAsia="en-GB"/>
              </w:rPr>
            </w:pPr>
          </w:p>
        </w:tc>
        <w:tc>
          <w:tcPr>
            <w:tcW w:w="656" w:type="dxa"/>
            <w:shd w:val="clear" w:color="auto" w:fill="auto"/>
            <w:noWrap/>
            <w:vAlign w:val="center"/>
            <w:hideMark/>
          </w:tcPr>
          <w:p w14:paraId="1D031C92" w14:textId="77777777" w:rsidR="00FE07E2" w:rsidRPr="00FE07E2" w:rsidRDefault="00FE07E2" w:rsidP="00FE07E2">
            <w:pPr>
              <w:spacing w:after="0" w:line="240" w:lineRule="auto"/>
              <w:jc w:val="center"/>
              <w:rPr>
                <w:rFonts w:ascii="Calibri" w:eastAsia="Times New Roman" w:hAnsi="Calibri" w:cs="Calibri"/>
                <w:b/>
                <w:bCs/>
                <w:color w:val="000000"/>
                <w:sz w:val="21"/>
                <w:szCs w:val="21"/>
                <w:lang w:eastAsia="en-GB"/>
              </w:rPr>
            </w:pPr>
            <w:r w:rsidRPr="00FE07E2">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1B6BD832" w14:textId="77777777" w:rsidR="00FE07E2" w:rsidRPr="00FE07E2" w:rsidRDefault="00FE07E2" w:rsidP="00FE07E2">
            <w:pPr>
              <w:spacing w:after="0" w:line="240" w:lineRule="auto"/>
              <w:jc w:val="center"/>
              <w:rPr>
                <w:rFonts w:ascii="Calibri" w:eastAsia="Times New Roman" w:hAnsi="Calibri" w:cs="Calibri"/>
                <w:b/>
                <w:bCs/>
                <w:color w:val="000000"/>
                <w:sz w:val="21"/>
                <w:szCs w:val="21"/>
                <w:lang w:eastAsia="en-GB"/>
              </w:rPr>
            </w:pPr>
            <w:r w:rsidRPr="00FE07E2">
              <w:rPr>
                <w:rFonts w:ascii="Calibri" w:eastAsia="Times New Roman" w:hAnsi="Calibri" w:cs="Calibri"/>
                <w:b/>
                <w:bCs/>
                <w:color w:val="000000"/>
                <w:sz w:val="21"/>
                <w:szCs w:val="21"/>
                <w:lang w:eastAsia="en-GB"/>
              </w:rPr>
              <w:t>No</w:t>
            </w:r>
          </w:p>
        </w:tc>
      </w:tr>
      <w:tr w:rsidR="00FE07E2" w:rsidRPr="00FE07E2" w14:paraId="1D70B5B8" w14:textId="77777777" w:rsidTr="00815088">
        <w:trPr>
          <w:trHeight w:val="288"/>
        </w:trPr>
        <w:tc>
          <w:tcPr>
            <w:tcW w:w="1985" w:type="dxa"/>
            <w:vMerge/>
            <w:vAlign w:val="center"/>
            <w:hideMark/>
          </w:tcPr>
          <w:p w14:paraId="3FF6DDF7" w14:textId="77777777" w:rsidR="00FE07E2" w:rsidRPr="00FE07E2" w:rsidRDefault="00FE07E2" w:rsidP="00FE07E2">
            <w:pPr>
              <w:spacing w:after="0" w:line="240" w:lineRule="auto"/>
              <w:rPr>
                <w:rFonts w:ascii="Times New Roman" w:eastAsia="Times New Roman" w:hAnsi="Times New Roman" w:cs="Times New Roman"/>
                <w:sz w:val="24"/>
                <w:szCs w:val="24"/>
                <w:lang w:eastAsia="en-GB"/>
              </w:rPr>
            </w:pPr>
          </w:p>
        </w:tc>
        <w:tc>
          <w:tcPr>
            <w:tcW w:w="656" w:type="dxa"/>
            <w:shd w:val="clear" w:color="000000" w:fill="80C77D"/>
            <w:noWrap/>
            <w:vAlign w:val="center"/>
            <w:hideMark/>
          </w:tcPr>
          <w:p w14:paraId="7CAE1E40" w14:textId="77777777" w:rsidR="00FE07E2" w:rsidRPr="00FE07E2" w:rsidRDefault="00FE07E2" w:rsidP="00FE07E2">
            <w:pPr>
              <w:spacing w:after="0" w:line="240" w:lineRule="auto"/>
              <w:jc w:val="center"/>
              <w:rPr>
                <w:rFonts w:ascii="Calibri" w:eastAsia="Times New Roman" w:hAnsi="Calibri" w:cs="Calibri"/>
                <w:b/>
                <w:bCs/>
                <w:color w:val="000000"/>
                <w:sz w:val="21"/>
                <w:szCs w:val="21"/>
                <w:lang w:eastAsia="en-GB"/>
              </w:rPr>
            </w:pPr>
            <w:r w:rsidRPr="00FE07E2">
              <w:rPr>
                <w:rFonts w:ascii="Calibri" w:eastAsia="Times New Roman" w:hAnsi="Calibri" w:cs="Calibri"/>
                <w:b/>
                <w:bCs/>
                <w:color w:val="000000"/>
                <w:sz w:val="21"/>
                <w:szCs w:val="21"/>
                <w:lang w:eastAsia="en-GB"/>
              </w:rPr>
              <w:t>9</w:t>
            </w:r>
          </w:p>
        </w:tc>
        <w:tc>
          <w:tcPr>
            <w:tcW w:w="656" w:type="dxa"/>
            <w:shd w:val="clear" w:color="000000" w:fill="F8696B"/>
            <w:noWrap/>
            <w:vAlign w:val="center"/>
            <w:hideMark/>
          </w:tcPr>
          <w:p w14:paraId="3ECB6F11" w14:textId="77777777" w:rsidR="00FE07E2" w:rsidRPr="00FE07E2" w:rsidRDefault="00FE07E2" w:rsidP="00FE07E2">
            <w:pPr>
              <w:spacing w:after="0" w:line="240" w:lineRule="auto"/>
              <w:jc w:val="center"/>
              <w:rPr>
                <w:rFonts w:ascii="Calibri" w:eastAsia="Times New Roman" w:hAnsi="Calibri" w:cs="Calibri"/>
                <w:b/>
                <w:bCs/>
                <w:color w:val="000000"/>
                <w:sz w:val="21"/>
                <w:szCs w:val="21"/>
                <w:lang w:eastAsia="en-GB"/>
              </w:rPr>
            </w:pPr>
            <w:r w:rsidRPr="00FE07E2">
              <w:rPr>
                <w:rFonts w:ascii="Calibri" w:eastAsia="Times New Roman" w:hAnsi="Calibri" w:cs="Calibri"/>
                <w:b/>
                <w:bCs/>
                <w:color w:val="000000"/>
                <w:sz w:val="21"/>
                <w:szCs w:val="21"/>
                <w:lang w:eastAsia="en-GB"/>
              </w:rPr>
              <w:t>0</w:t>
            </w:r>
          </w:p>
        </w:tc>
      </w:tr>
      <w:tr w:rsidR="00FE07E2" w:rsidRPr="00FE07E2" w14:paraId="62A6F2BA" w14:textId="77777777" w:rsidTr="00F77EC3">
        <w:trPr>
          <w:trHeight w:val="288"/>
        </w:trPr>
        <w:tc>
          <w:tcPr>
            <w:tcW w:w="1985" w:type="dxa"/>
            <w:shd w:val="clear" w:color="auto" w:fill="auto"/>
            <w:noWrap/>
            <w:vAlign w:val="center"/>
            <w:hideMark/>
          </w:tcPr>
          <w:p w14:paraId="07F825D2" w14:textId="77777777" w:rsidR="00FE07E2" w:rsidRPr="00FE07E2" w:rsidRDefault="00FE07E2" w:rsidP="00FE07E2">
            <w:pPr>
              <w:spacing w:after="0" w:line="240" w:lineRule="auto"/>
              <w:jc w:val="right"/>
              <w:rPr>
                <w:rFonts w:ascii="Calibri" w:eastAsia="Times New Roman" w:hAnsi="Calibri" w:cs="Calibri"/>
                <w:color w:val="000000"/>
                <w:sz w:val="21"/>
                <w:szCs w:val="21"/>
                <w:lang w:eastAsia="en-GB"/>
              </w:rPr>
            </w:pPr>
            <w:r w:rsidRPr="00FE07E2">
              <w:rPr>
                <w:rFonts w:ascii="Calibri" w:eastAsia="Times New Roman" w:hAnsi="Calibri" w:cs="Calibri"/>
                <w:color w:val="000000"/>
                <w:sz w:val="21"/>
                <w:szCs w:val="21"/>
                <w:lang w:eastAsia="en-GB"/>
              </w:rPr>
              <w:t>Trade Associations</w:t>
            </w:r>
          </w:p>
        </w:tc>
        <w:tc>
          <w:tcPr>
            <w:tcW w:w="656" w:type="dxa"/>
            <w:shd w:val="clear" w:color="auto" w:fill="auto"/>
            <w:noWrap/>
            <w:vAlign w:val="center"/>
            <w:hideMark/>
          </w:tcPr>
          <w:p w14:paraId="55CF91D3" w14:textId="77777777" w:rsidR="00FE07E2" w:rsidRPr="00FE07E2" w:rsidRDefault="00FE07E2" w:rsidP="00FE07E2">
            <w:pPr>
              <w:spacing w:after="0" w:line="240" w:lineRule="auto"/>
              <w:jc w:val="center"/>
              <w:rPr>
                <w:rFonts w:ascii="Calibri" w:eastAsia="Times New Roman" w:hAnsi="Calibri" w:cs="Calibri"/>
                <w:color w:val="000000"/>
                <w:sz w:val="21"/>
                <w:szCs w:val="21"/>
                <w:lang w:eastAsia="en-GB"/>
              </w:rPr>
            </w:pPr>
            <w:r w:rsidRPr="00FE07E2">
              <w:rPr>
                <w:rFonts w:ascii="Calibri" w:eastAsia="Times New Roman" w:hAnsi="Calibri" w:cs="Calibri"/>
                <w:color w:val="000000"/>
                <w:sz w:val="21"/>
                <w:szCs w:val="21"/>
                <w:lang w:eastAsia="en-GB"/>
              </w:rPr>
              <w:t>3</w:t>
            </w:r>
          </w:p>
        </w:tc>
        <w:tc>
          <w:tcPr>
            <w:tcW w:w="656" w:type="dxa"/>
            <w:shd w:val="clear" w:color="auto" w:fill="auto"/>
            <w:noWrap/>
            <w:vAlign w:val="center"/>
            <w:hideMark/>
          </w:tcPr>
          <w:p w14:paraId="171A2FC2" w14:textId="77777777" w:rsidR="00FE07E2" w:rsidRPr="00FE07E2" w:rsidRDefault="00FE07E2" w:rsidP="00FE07E2">
            <w:pPr>
              <w:spacing w:after="0" w:line="240" w:lineRule="auto"/>
              <w:jc w:val="center"/>
              <w:rPr>
                <w:rFonts w:ascii="Calibri" w:eastAsia="Times New Roman" w:hAnsi="Calibri" w:cs="Calibri"/>
                <w:color w:val="FFFFFF"/>
                <w:sz w:val="21"/>
                <w:szCs w:val="21"/>
                <w:lang w:eastAsia="en-GB"/>
              </w:rPr>
            </w:pPr>
            <w:r w:rsidRPr="00FE07E2">
              <w:rPr>
                <w:rFonts w:ascii="Calibri" w:eastAsia="Times New Roman" w:hAnsi="Calibri" w:cs="Calibri"/>
                <w:color w:val="FFFFFF"/>
                <w:sz w:val="21"/>
                <w:szCs w:val="21"/>
                <w:lang w:eastAsia="en-GB"/>
              </w:rPr>
              <w:t>0</w:t>
            </w:r>
          </w:p>
        </w:tc>
      </w:tr>
      <w:tr w:rsidR="00FE07E2" w:rsidRPr="00FE07E2" w14:paraId="2C7700D6" w14:textId="77777777" w:rsidTr="00F77EC3">
        <w:trPr>
          <w:trHeight w:val="288"/>
        </w:trPr>
        <w:tc>
          <w:tcPr>
            <w:tcW w:w="1985" w:type="dxa"/>
            <w:shd w:val="clear" w:color="auto" w:fill="auto"/>
            <w:noWrap/>
            <w:vAlign w:val="center"/>
            <w:hideMark/>
          </w:tcPr>
          <w:p w14:paraId="39BAADD3" w14:textId="77777777" w:rsidR="00FE07E2" w:rsidRPr="00FE07E2" w:rsidRDefault="00FE07E2" w:rsidP="00FE07E2">
            <w:pPr>
              <w:spacing w:after="0" w:line="240" w:lineRule="auto"/>
              <w:jc w:val="right"/>
              <w:rPr>
                <w:rFonts w:ascii="Calibri" w:eastAsia="Times New Roman" w:hAnsi="Calibri" w:cs="Calibri"/>
                <w:color w:val="000000"/>
                <w:sz w:val="21"/>
                <w:szCs w:val="21"/>
                <w:lang w:eastAsia="en-GB"/>
              </w:rPr>
            </w:pPr>
            <w:r w:rsidRPr="00FE07E2">
              <w:rPr>
                <w:rFonts w:ascii="Calibri" w:eastAsia="Times New Roman" w:hAnsi="Calibri" w:cs="Calibri"/>
                <w:color w:val="000000"/>
                <w:sz w:val="21"/>
                <w:szCs w:val="21"/>
                <w:lang w:eastAsia="en-GB"/>
              </w:rPr>
              <w:t>DSB Users</w:t>
            </w:r>
          </w:p>
        </w:tc>
        <w:tc>
          <w:tcPr>
            <w:tcW w:w="656" w:type="dxa"/>
            <w:shd w:val="clear" w:color="auto" w:fill="auto"/>
            <w:noWrap/>
            <w:vAlign w:val="center"/>
            <w:hideMark/>
          </w:tcPr>
          <w:p w14:paraId="49AB52D7" w14:textId="77777777" w:rsidR="00FE07E2" w:rsidRPr="00FE07E2" w:rsidRDefault="00FE07E2" w:rsidP="00FE07E2">
            <w:pPr>
              <w:spacing w:after="0" w:line="240" w:lineRule="auto"/>
              <w:jc w:val="center"/>
              <w:rPr>
                <w:rFonts w:ascii="Calibri" w:eastAsia="Times New Roman" w:hAnsi="Calibri" w:cs="Calibri"/>
                <w:color w:val="000000"/>
                <w:sz w:val="21"/>
                <w:szCs w:val="21"/>
                <w:lang w:eastAsia="en-GB"/>
              </w:rPr>
            </w:pPr>
            <w:r w:rsidRPr="00FE07E2">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4C95DE1E" w14:textId="77777777" w:rsidR="00FE07E2" w:rsidRPr="00FE07E2" w:rsidRDefault="00FE07E2" w:rsidP="00FE07E2">
            <w:pPr>
              <w:spacing w:after="0" w:line="240" w:lineRule="auto"/>
              <w:jc w:val="center"/>
              <w:rPr>
                <w:rFonts w:ascii="Calibri" w:eastAsia="Times New Roman" w:hAnsi="Calibri" w:cs="Calibri"/>
                <w:color w:val="FFFFFF"/>
                <w:sz w:val="21"/>
                <w:szCs w:val="21"/>
                <w:lang w:eastAsia="en-GB"/>
              </w:rPr>
            </w:pPr>
            <w:r w:rsidRPr="00FE07E2">
              <w:rPr>
                <w:rFonts w:ascii="Calibri" w:eastAsia="Times New Roman" w:hAnsi="Calibri" w:cs="Calibri"/>
                <w:color w:val="FFFFFF"/>
                <w:sz w:val="21"/>
                <w:szCs w:val="21"/>
                <w:lang w:eastAsia="en-GB"/>
              </w:rPr>
              <w:t>0</w:t>
            </w:r>
          </w:p>
        </w:tc>
      </w:tr>
    </w:tbl>
    <w:p w14:paraId="4FE22CF1" w14:textId="77777777" w:rsidR="00FA7CBE" w:rsidRDefault="00FA7CBE" w:rsidP="00FA7CBE">
      <w:pPr>
        <w:spacing w:before="240" w:after="120" w:line="276" w:lineRule="auto"/>
      </w:pPr>
      <w:r>
        <w:t xml:space="preserve">Most respondents welcomed further efforts to improve data quality, with some noting that the impact of using an </w:t>
      </w:r>
      <w:r w:rsidRPr="002A5ED3">
        <w:t xml:space="preserve">inappropriate </w:t>
      </w:r>
      <w:r>
        <w:t>DSB product</w:t>
      </w:r>
      <w:r w:rsidRPr="002A5ED3">
        <w:t xml:space="preserve"> template </w:t>
      </w:r>
      <w:r>
        <w:t>is t</w:t>
      </w:r>
      <w:r w:rsidRPr="002A5ED3">
        <w:t>h</w:t>
      </w:r>
      <w:r>
        <w:t>e creation of an i</w:t>
      </w:r>
      <w:r w:rsidRPr="002A5ED3">
        <w:t>nappropriate CFI code</w:t>
      </w:r>
      <w:r>
        <w:t xml:space="preserve"> and badly defined ISINs.</w:t>
      </w:r>
    </w:p>
    <w:p w14:paraId="32E2F018" w14:textId="77777777" w:rsidR="00FA7CBE" w:rsidRDefault="00FA7CBE" w:rsidP="00FA7CBE">
      <w:pPr>
        <w:spacing w:before="240" w:after="120" w:line="276" w:lineRule="auto"/>
        <w:rPr>
          <w:rStyle w:val="normaltextrun"/>
          <w:rFonts w:eastAsiaTheme="majorEastAsia" w:cstheme="minorHAnsi"/>
        </w:rPr>
      </w:pPr>
      <w:r>
        <w:rPr>
          <w:rStyle w:val="normaltextrun"/>
          <w:rFonts w:eastAsiaTheme="majorEastAsia" w:cstheme="minorHAnsi"/>
        </w:rPr>
        <w:t xml:space="preserve">Users requested that further analysis be undertaken to determine the </w:t>
      </w:r>
      <w:r w:rsidRPr="00691F71">
        <w:rPr>
          <w:rStyle w:val="normaltextrun"/>
          <w:rFonts w:eastAsiaTheme="majorEastAsia" w:cstheme="minorHAnsi"/>
        </w:rPr>
        <w:t xml:space="preserve">proportion of </w:t>
      </w:r>
      <w:r>
        <w:rPr>
          <w:rStyle w:val="normaltextrun"/>
          <w:rFonts w:eastAsiaTheme="majorEastAsia" w:cstheme="minorHAnsi"/>
        </w:rPr>
        <w:t xml:space="preserve">OTC ISINs that are subject to these types of errors. </w:t>
      </w:r>
    </w:p>
    <w:p w14:paraId="61122FC8" w14:textId="1D7B5CD7" w:rsidR="007E6F58" w:rsidRDefault="007E6F58" w:rsidP="00F77EC3">
      <w:pPr>
        <w:spacing w:before="240"/>
        <w:rPr>
          <w:u w:val="single"/>
        </w:rPr>
      </w:pPr>
      <w:r>
        <w:rPr>
          <w:u w:val="single"/>
        </w:rPr>
        <w:t>Analysis of Responses</w:t>
      </w:r>
    </w:p>
    <w:p w14:paraId="20A56D2A" w14:textId="2919A530" w:rsidR="00FA7CBE" w:rsidRPr="00FA7CBE" w:rsidRDefault="00FA7CBE" w:rsidP="007E6F58">
      <w:r w:rsidRPr="00FA7CBE">
        <w:t xml:space="preserve">The DSB </w:t>
      </w:r>
      <w:r>
        <w:t xml:space="preserve">views the user requests </w:t>
      </w:r>
      <w:r w:rsidR="00D976C2">
        <w:t xml:space="preserve">for further analysis </w:t>
      </w:r>
      <w:r>
        <w:t>as being achievable with existing DSB business as usual resources and will therefore look to progress the suggested analysis as part of the existing PC secretariat, subject to prioritisation by the PC.</w:t>
      </w:r>
      <w:r w:rsidR="00D976C2">
        <w:t xml:space="preserve"> </w:t>
      </w:r>
    </w:p>
    <w:p w14:paraId="11BFF90E" w14:textId="64F392FF" w:rsidR="007E6F58" w:rsidRDefault="007E6F58" w:rsidP="00F77EC3">
      <w:pPr>
        <w:spacing w:before="240"/>
        <w:rPr>
          <w:u w:val="single"/>
        </w:rPr>
      </w:pPr>
      <w:r>
        <w:rPr>
          <w:u w:val="single"/>
        </w:rPr>
        <w:t>DSB Proposed Next Steps</w:t>
      </w:r>
    </w:p>
    <w:p w14:paraId="1203B203" w14:textId="6B0E58E5" w:rsidR="00FA7CBE" w:rsidRDefault="00FA7CBE" w:rsidP="00815088">
      <w:pPr>
        <w:rPr>
          <w:rFonts w:ascii="Calibri" w:hAnsi="Calibri" w:cs="Calibri"/>
        </w:rPr>
      </w:pPr>
      <w:r w:rsidRPr="00571A66">
        <w:t>The DSB proposes to</w:t>
      </w:r>
      <w:r>
        <w:t xml:space="preserve"> examine </w:t>
      </w:r>
      <w:r>
        <w:rPr>
          <w:rFonts w:ascii="Calibri" w:hAnsi="Calibri" w:cs="Calibri"/>
        </w:rPr>
        <w:t xml:space="preserve">the number of CDS </w:t>
      </w:r>
      <w:r w:rsidR="00B20212">
        <w:rPr>
          <w:rFonts w:ascii="Calibri" w:hAnsi="Calibri" w:cs="Calibri"/>
        </w:rPr>
        <w:t xml:space="preserve">Single Name </w:t>
      </w:r>
      <w:r>
        <w:rPr>
          <w:rFonts w:ascii="Calibri" w:hAnsi="Calibri" w:cs="Calibri"/>
        </w:rPr>
        <w:t xml:space="preserve">ISINs that have been incorrectly created i.e. where the issuer type of the underlying bond does not match the DSB product template selected and work with the PC to determine next steps, if any. </w:t>
      </w:r>
    </w:p>
    <w:p w14:paraId="32D0DEE1" w14:textId="2969121E" w:rsidR="00FA7CBE" w:rsidRDefault="00BA67C4" w:rsidP="00FA7CBE">
      <w:pPr>
        <w:spacing w:before="240" w:after="120" w:line="276" w:lineRule="auto"/>
        <w:rPr>
          <w:rFonts w:ascii="Calibri" w:hAnsi="Calibri" w:cs="Calibri"/>
        </w:rPr>
      </w:pPr>
      <w:r w:rsidRPr="00BB1525">
        <w:rPr>
          <w:noProof/>
          <w:lang w:eastAsia="en-GB"/>
        </w:rPr>
        <w:lastRenderedPageBreak/>
        <mc:AlternateContent>
          <mc:Choice Requires="wps">
            <w:drawing>
              <wp:anchor distT="45720" distB="45720" distL="114300" distR="114300" simplePos="0" relativeHeight="251673600" behindDoc="1" locked="0" layoutInCell="1" allowOverlap="1" wp14:anchorId="6CB057B0" wp14:editId="096616F4">
                <wp:simplePos x="0" y="0"/>
                <wp:positionH relativeFrom="margin">
                  <wp:posOffset>-2540</wp:posOffset>
                </wp:positionH>
                <wp:positionV relativeFrom="paragraph">
                  <wp:posOffset>663575</wp:posOffset>
                </wp:positionV>
                <wp:extent cx="5716905" cy="1404620"/>
                <wp:effectExtent l="0" t="0" r="17145" b="21590"/>
                <wp:wrapTight wrapText="bothSides">
                  <wp:wrapPolygon edited="0">
                    <wp:start x="0" y="0"/>
                    <wp:lineTo x="0" y="21676"/>
                    <wp:lineTo x="21593" y="21676"/>
                    <wp:lineTo x="21593"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4374DCD" w14:textId="7BBEE89D" w:rsidR="00D52BA4" w:rsidRDefault="00D52BA4" w:rsidP="007E6F58">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12</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FA7CB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w:t>
                            </w:r>
                            <w:r w:rsidRPr="00FA7CBE">
                              <w:rPr>
                                <w:rStyle w:val="eop"/>
                                <w:rFonts w:ascii="Calibri" w:eastAsiaTheme="majorEastAsia" w:hAnsi="Calibri" w:cs="Calibri"/>
                                <w:sz w:val="22"/>
                                <w:szCs w:val="22"/>
                              </w:rPr>
                              <w:t>examine the number of CDS S</w:t>
                            </w:r>
                            <w:r>
                              <w:rPr>
                                <w:rStyle w:val="eop"/>
                                <w:rFonts w:ascii="Calibri" w:eastAsiaTheme="majorEastAsia" w:hAnsi="Calibri" w:cs="Calibri"/>
                                <w:sz w:val="22"/>
                                <w:szCs w:val="22"/>
                              </w:rPr>
                              <w:t xml:space="preserve">ingle </w:t>
                            </w:r>
                            <w:r w:rsidRPr="00FA7CBE">
                              <w:rPr>
                                <w:rStyle w:val="eop"/>
                                <w:rFonts w:ascii="Calibri" w:eastAsiaTheme="majorEastAsia" w:hAnsi="Calibri" w:cs="Calibri"/>
                                <w:sz w:val="22"/>
                                <w:szCs w:val="22"/>
                              </w:rPr>
                              <w:t>N</w:t>
                            </w:r>
                            <w:r>
                              <w:rPr>
                                <w:rStyle w:val="eop"/>
                                <w:rFonts w:ascii="Calibri" w:eastAsiaTheme="majorEastAsia" w:hAnsi="Calibri" w:cs="Calibri"/>
                                <w:sz w:val="22"/>
                                <w:szCs w:val="22"/>
                              </w:rPr>
                              <w:t>ame</w:t>
                            </w:r>
                            <w:r w:rsidRPr="00FA7CBE">
                              <w:rPr>
                                <w:rStyle w:val="eop"/>
                                <w:rFonts w:ascii="Calibri" w:eastAsiaTheme="majorEastAsia" w:hAnsi="Calibri" w:cs="Calibri"/>
                                <w:sz w:val="22"/>
                                <w:szCs w:val="22"/>
                              </w:rPr>
                              <w:t xml:space="preserve"> ISINs that have been incorrectly created and work with the PC to determine next steps, if 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B057B0" id="Text Box 30" o:spid="_x0000_s1050" type="#_x0000_t202" style="position:absolute;margin-left:-.2pt;margin-top:52.25pt;width:450.15pt;height:110.6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">
                <v:textbox style="mso-fit-shape-to-text:t">
                  <w:txbxContent>
                    <w:p w14:paraId="64374DCD" w14:textId="7BBEE89D" w:rsidR="00D52BA4" w:rsidRDefault="00D52BA4" w:rsidP="007E6F58">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12</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FA7CB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w:t>
                      </w:r>
                      <w:r w:rsidRPr="00FA7CBE">
                        <w:rPr>
                          <w:rStyle w:val="eop"/>
                          <w:rFonts w:ascii="Calibri" w:eastAsiaTheme="majorEastAsia" w:hAnsi="Calibri" w:cs="Calibri"/>
                          <w:sz w:val="22"/>
                          <w:szCs w:val="22"/>
                        </w:rPr>
                        <w:t>examine the number of CDS S</w:t>
                      </w:r>
                      <w:r>
                        <w:rPr>
                          <w:rStyle w:val="eop"/>
                          <w:rFonts w:ascii="Calibri" w:eastAsiaTheme="majorEastAsia" w:hAnsi="Calibri" w:cs="Calibri"/>
                          <w:sz w:val="22"/>
                          <w:szCs w:val="22"/>
                        </w:rPr>
                        <w:t xml:space="preserve">ingle </w:t>
                      </w:r>
                      <w:r w:rsidRPr="00FA7CBE">
                        <w:rPr>
                          <w:rStyle w:val="eop"/>
                          <w:rFonts w:ascii="Calibri" w:eastAsiaTheme="majorEastAsia" w:hAnsi="Calibri" w:cs="Calibri"/>
                          <w:sz w:val="22"/>
                          <w:szCs w:val="22"/>
                        </w:rPr>
                        <w:t>N</w:t>
                      </w:r>
                      <w:r>
                        <w:rPr>
                          <w:rStyle w:val="eop"/>
                          <w:rFonts w:ascii="Calibri" w:eastAsiaTheme="majorEastAsia" w:hAnsi="Calibri" w:cs="Calibri"/>
                          <w:sz w:val="22"/>
                          <w:szCs w:val="22"/>
                        </w:rPr>
                        <w:t>ame</w:t>
                      </w:r>
                      <w:r w:rsidRPr="00FA7CBE">
                        <w:rPr>
                          <w:rStyle w:val="eop"/>
                          <w:rFonts w:ascii="Calibri" w:eastAsiaTheme="majorEastAsia" w:hAnsi="Calibri" w:cs="Calibri"/>
                          <w:sz w:val="22"/>
                          <w:szCs w:val="22"/>
                        </w:rPr>
                        <w:t xml:space="preserve"> ISINs that have been incorrectly created and work with the PC to determine next steps, if any?</w:t>
                      </w:r>
                    </w:p>
                  </w:txbxContent>
                </v:textbox>
                <w10:wrap type="tight" anchorx="margin"/>
              </v:shape>
            </w:pict>
          </mc:Fallback>
        </mc:AlternateContent>
      </w:r>
      <w:r w:rsidR="00FA7CBE">
        <w:rPr>
          <w:rFonts w:ascii="Calibri" w:hAnsi="Calibri" w:cs="Calibri"/>
        </w:rPr>
        <w:t xml:space="preserve">The range of possible next steps are likely to include guidance on appropriate product template selection, validation vs. underlying issuer type (if available), etc. </w:t>
      </w:r>
    </w:p>
    <w:p w14:paraId="354C9AE5" w14:textId="38AEEA8E" w:rsidR="009467EC" w:rsidRDefault="009467EC" w:rsidP="009467EC">
      <w:pPr>
        <w:rPr>
          <w:rFonts w:ascii="Calibri" w:eastAsia="Times New Roman" w:hAnsi="Calibri" w:cs="Calibri"/>
          <w:color w:val="000000"/>
          <w:lang w:eastAsia="en-GB"/>
        </w:rPr>
      </w:pPr>
    </w:p>
    <w:p w14:paraId="34B50819" w14:textId="27A0259C" w:rsidR="00BA67C4" w:rsidRDefault="00BA67C4" w:rsidP="009467EC">
      <w:pPr>
        <w:rPr>
          <w:rFonts w:ascii="Calibri" w:eastAsia="Times New Roman" w:hAnsi="Calibri" w:cs="Calibri"/>
          <w:color w:val="000000"/>
          <w:lang w:eastAsia="en-GB"/>
        </w:rPr>
      </w:pPr>
    </w:p>
    <w:p w14:paraId="45CF9AE0" w14:textId="77777777" w:rsidR="00BA67C4" w:rsidRDefault="00BA67C4" w:rsidP="009467EC">
      <w:pPr>
        <w:rPr>
          <w:rFonts w:ascii="Calibri" w:eastAsia="Times New Roman" w:hAnsi="Calibri" w:cs="Calibri"/>
          <w:color w:val="000000"/>
          <w:lang w:eastAsia="en-GB"/>
        </w:rPr>
      </w:pPr>
    </w:p>
    <w:bookmarkStart w:id="76" w:name="_Ref13073728"/>
    <w:bookmarkStart w:id="77" w:name="_Toc13087142"/>
    <w:bookmarkStart w:id="78" w:name="_Toc13157229"/>
    <w:p w14:paraId="56DF086D" w14:textId="32ECA7BE" w:rsidR="009467EC" w:rsidRDefault="009467EC" w:rsidP="009467EC">
      <w:pPr>
        <w:pStyle w:val="Heading3"/>
      </w:pPr>
      <w:r>
        <w:rPr>
          <w:noProof/>
          <w:lang w:eastAsia="en-GB"/>
        </w:rPr>
        <mc:AlternateContent>
          <mc:Choice Requires="wps">
            <w:drawing>
              <wp:anchor distT="45720" distB="45720" distL="114300" distR="114300" simplePos="0" relativeHeight="251686912" behindDoc="0" locked="0" layoutInCell="1" allowOverlap="1" wp14:anchorId="1761DFC2" wp14:editId="2C8B414B">
                <wp:simplePos x="0" y="0"/>
                <wp:positionH relativeFrom="margin">
                  <wp:align>right</wp:align>
                </wp:positionH>
                <wp:positionV relativeFrom="paragraph">
                  <wp:posOffset>341244</wp:posOffset>
                </wp:positionV>
                <wp:extent cx="5716905" cy="1404620"/>
                <wp:effectExtent l="0" t="0" r="17145"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9BF24D0" w14:textId="234DCCAD" w:rsidR="00D52BA4" w:rsidRPr="009467EC" w:rsidRDefault="00D52BA4" w:rsidP="009467EC">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 xml:space="preserve">CP1 </w:t>
                            </w:r>
                            <w:r w:rsidRPr="009467EC">
                              <w:rPr>
                                <w:rStyle w:val="normaltextrun"/>
                                <w:rFonts w:ascii="Calibri" w:hAnsi="Calibri" w:cs="Calibri"/>
                                <w:b/>
                                <w:color w:val="000000"/>
                                <w:sz w:val="22"/>
                                <w:szCs w:val="22"/>
                              </w:rPr>
                              <w:t>Question 2.2(d):</w:t>
                            </w:r>
                            <w:r w:rsidRPr="009467EC">
                              <w:rPr>
                                <w:rStyle w:val="normaltextrun"/>
                                <w:rFonts w:ascii="Calibri" w:hAnsi="Calibri" w:cs="Calibri"/>
                                <w:color w:val="000000"/>
                                <w:sz w:val="22"/>
                                <w:szCs w:val="22"/>
                              </w:rPr>
                              <w:t xml:space="preserve"> Do you need the DSB to investigate the provision of any other supplemental data that leverages the new ISIN-LEI facility, in order to facilitate your firm’s OTC derivative related processes – either pre or post trade?  </w:t>
                            </w:r>
                          </w:p>
                          <w:p w14:paraId="2FD121CF" w14:textId="3AD3A5A3" w:rsidR="00D52BA4" w:rsidRDefault="00D52BA4" w:rsidP="009467EC">
                            <w:pPr>
                              <w:pStyle w:val="paragraph"/>
                              <w:spacing w:before="240" w:beforeAutospacing="0" w:after="120" w:afterAutospacing="0" w:line="276" w:lineRule="auto"/>
                              <w:textAlignment w:val="baseline"/>
                            </w:pPr>
                            <w:r w:rsidRPr="00356031">
                              <w:rPr>
                                <w:rStyle w:val="normaltextrun"/>
                                <w:rFonts w:ascii="Calibri" w:hAnsi="Calibri" w:cs="Calibri"/>
                                <w:b/>
                                <w:bCs/>
                                <w:color w:val="000000"/>
                                <w:sz w:val="22"/>
                                <w:szCs w:val="22"/>
                              </w:rPr>
                              <w:t>CP1 Question</w:t>
                            </w:r>
                            <w:r w:rsidRPr="009467EC">
                              <w:rPr>
                                <w:rStyle w:val="normaltextrun"/>
                                <w:rFonts w:ascii="Calibri" w:hAnsi="Calibri" w:cs="Calibri"/>
                                <w:b/>
                                <w:bCs/>
                                <w:color w:val="000000"/>
                              </w:rPr>
                              <w:t xml:space="preserve"> </w:t>
                            </w:r>
                            <w:r w:rsidRPr="009467EC">
                              <w:rPr>
                                <w:rStyle w:val="normaltextrun"/>
                                <w:rFonts w:ascii="Calibri" w:hAnsi="Calibri" w:cs="Calibri"/>
                                <w:b/>
                                <w:color w:val="000000"/>
                                <w:sz w:val="22"/>
                                <w:szCs w:val="22"/>
                              </w:rPr>
                              <w:t>2.2(e)</w:t>
                            </w:r>
                            <w:r>
                              <w:rPr>
                                <w:rStyle w:val="normaltextrun"/>
                                <w:rFonts w:ascii="Calibri" w:hAnsi="Calibri" w:cs="Calibri"/>
                                <w:b/>
                                <w:bCs/>
                                <w:color w:val="000000"/>
                              </w:rPr>
                              <w:t>:</w:t>
                            </w:r>
                            <w:r w:rsidRPr="009467EC">
                              <w:rPr>
                                <w:rStyle w:val="normaltextrun"/>
                                <w:rFonts w:ascii="Calibri" w:hAnsi="Calibri" w:cs="Calibri"/>
                                <w:color w:val="000000"/>
                                <w:sz w:val="22"/>
                                <w:szCs w:val="22"/>
                              </w:rPr>
                              <w:t xml:space="preserve"> If yes to 2.2d, please provide specific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1DFC2" id="_x0000_s1051" type="#_x0000_t202" style="position:absolute;left:0;text-align:left;margin-left:398.95pt;margin-top:26.85pt;width:450.15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">
                <v:textbox style="mso-fit-shape-to-text:t">
                  <w:txbxContent>
                    <w:p w14:paraId="39BF24D0" w14:textId="234DCCAD" w:rsidR="00D52BA4" w:rsidRPr="009467EC" w:rsidRDefault="00D52BA4" w:rsidP="009467EC">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 xml:space="preserve">CP1 </w:t>
                      </w:r>
                      <w:r w:rsidRPr="009467EC">
                        <w:rPr>
                          <w:rStyle w:val="normaltextrun"/>
                          <w:rFonts w:ascii="Calibri" w:hAnsi="Calibri" w:cs="Calibri"/>
                          <w:b/>
                          <w:color w:val="000000"/>
                          <w:sz w:val="22"/>
                          <w:szCs w:val="22"/>
                        </w:rPr>
                        <w:t>Question 2.2(d):</w:t>
                      </w:r>
                      <w:r w:rsidRPr="009467EC">
                        <w:rPr>
                          <w:rStyle w:val="normaltextrun"/>
                          <w:rFonts w:ascii="Calibri" w:hAnsi="Calibri" w:cs="Calibri"/>
                          <w:color w:val="000000"/>
                          <w:sz w:val="22"/>
                          <w:szCs w:val="22"/>
                        </w:rPr>
                        <w:t xml:space="preserve"> Do you need the DSB to investigate the provision of any other supplemental data that leverages the new ISIN-LEI facility, in order to facilitate your firm’s OTC derivative related processes – either pre or post trade?  </w:t>
                      </w:r>
                    </w:p>
                    <w:p w14:paraId="2FD121CF" w14:textId="3AD3A5A3" w:rsidR="00D52BA4" w:rsidRDefault="00D52BA4" w:rsidP="009467EC">
                      <w:pPr>
                        <w:pStyle w:val="paragraph"/>
                        <w:spacing w:before="240" w:beforeAutospacing="0" w:after="120" w:afterAutospacing="0" w:line="276" w:lineRule="auto"/>
                        <w:textAlignment w:val="baseline"/>
                      </w:pPr>
                      <w:r w:rsidRPr="00356031">
                        <w:rPr>
                          <w:rStyle w:val="normaltextrun"/>
                          <w:rFonts w:ascii="Calibri" w:hAnsi="Calibri" w:cs="Calibri"/>
                          <w:b/>
                          <w:bCs/>
                          <w:color w:val="000000"/>
                          <w:sz w:val="22"/>
                          <w:szCs w:val="22"/>
                        </w:rPr>
                        <w:t>CP1 Question</w:t>
                      </w:r>
                      <w:r w:rsidRPr="009467EC">
                        <w:rPr>
                          <w:rStyle w:val="normaltextrun"/>
                          <w:rFonts w:ascii="Calibri" w:hAnsi="Calibri" w:cs="Calibri"/>
                          <w:b/>
                          <w:bCs/>
                          <w:color w:val="000000"/>
                        </w:rPr>
                        <w:t xml:space="preserve"> </w:t>
                      </w:r>
                      <w:r w:rsidRPr="009467EC">
                        <w:rPr>
                          <w:rStyle w:val="normaltextrun"/>
                          <w:rFonts w:ascii="Calibri" w:hAnsi="Calibri" w:cs="Calibri"/>
                          <w:b/>
                          <w:color w:val="000000"/>
                          <w:sz w:val="22"/>
                          <w:szCs w:val="22"/>
                        </w:rPr>
                        <w:t>2.2(e)</w:t>
                      </w:r>
                      <w:r>
                        <w:rPr>
                          <w:rStyle w:val="normaltextrun"/>
                          <w:rFonts w:ascii="Calibri" w:hAnsi="Calibri" w:cs="Calibri"/>
                          <w:b/>
                          <w:bCs/>
                          <w:color w:val="000000"/>
                        </w:rPr>
                        <w:t>:</w:t>
                      </w:r>
                      <w:r w:rsidRPr="009467EC">
                        <w:rPr>
                          <w:rStyle w:val="normaltextrun"/>
                          <w:rFonts w:ascii="Calibri" w:hAnsi="Calibri" w:cs="Calibri"/>
                          <w:color w:val="000000"/>
                          <w:sz w:val="22"/>
                          <w:szCs w:val="22"/>
                        </w:rPr>
                        <w:t xml:space="preserve"> If yes to 2.2d, please provide specific examples</w:t>
                      </w:r>
                    </w:p>
                  </w:txbxContent>
                </v:textbox>
                <w10:wrap type="square" anchorx="margin"/>
              </v:shape>
            </w:pict>
          </mc:Fallback>
        </mc:AlternateContent>
      </w:r>
      <w:r>
        <w:t>Q2.2(d)</w:t>
      </w:r>
      <w:r w:rsidR="00C6563C">
        <w:t xml:space="preserve"> &amp; </w:t>
      </w:r>
      <w:r>
        <w:t>(e) – SUPPLEMENTAL DATA FOR ISIN-LEI MAPPING</w:t>
      </w:r>
      <w:bookmarkEnd w:id="76"/>
      <w:bookmarkEnd w:id="77"/>
      <w:bookmarkEnd w:id="78"/>
    </w:p>
    <w:p w14:paraId="45531125" w14:textId="570BB945" w:rsidR="009467EC" w:rsidRDefault="009467EC" w:rsidP="00F77EC3">
      <w:pPr>
        <w:spacing w:before="240"/>
        <w:rPr>
          <w:u w:val="single"/>
        </w:rPr>
      </w:pPr>
      <w:r>
        <w:rPr>
          <w:u w:val="single"/>
        </w:rPr>
        <w:t>Industry Responses</w:t>
      </w:r>
    </w:p>
    <w:p w14:paraId="487EBC40" w14:textId="467CB9BB" w:rsidR="009467EC" w:rsidRDefault="009467EC" w:rsidP="009467EC">
      <w:pPr>
        <w:spacing w:before="240" w:after="240" w:line="276" w:lineRule="auto"/>
      </w:pPr>
      <w:r>
        <w:t>The responses received to the question posed in the first consultation are set out below</w:t>
      </w:r>
      <w:r w:rsidR="005B5298">
        <w:t>:</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B368C8" w:rsidRPr="00D36AAF" w14:paraId="219C479F" w14:textId="77777777" w:rsidTr="00B368C8">
        <w:trPr>
          <w:trHeight w:val="576"/>
        </w:trPr>
        <w:tc>
          <w:tcPr>
            <w:tcW w:w="2127" w:type="dxa"/>
            <w:vMerge w:val="restart"/>
            <w:shd w:val="clear" w:color="auto" w:fill="auto"/>
            <w:noWrap/>
            <w:vAlign w:val="center"/>
            <w:hideMark/>
          </w:tcPr>
          <w:p w14:paraId="4108B406" w14:textId="77777777" w:rsidR="00B368C8" w:rsidRPr="00D36AAF" w:rsidRDefault="00B368C8" w:rsidP="009467EC">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05EF1CAE" w14:textId="77777777" w:rsidR="00B368C8" w:rsidRPr="00D36AAF" w:rsidRDefault="00B368C8" w:rsidP="009467EC">
            <w:pPr>
              <w:spacing w:after="0" w:line="240" w:lineRule="auto"/>
              <w:jc w:val="center"/>
              <w:rPr>
                <w:rFonts w:ascii="Calibri" w:eastAsia="Times New Roman" w:hAnsi="Calibri" w:cs="Calibri"/>
                <w:b/>
                <w:bCs/>
                <w:color w:val="000000"/>
                <w:sz w:val="21"/>
                <w:szCs w:val="21"/>
                <w:lang w:eastAsia="en-GB"/>
              </w:rPr>
            </w:pPr>
            <w:r w:rsidRPr="00D36AAF">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412BF22A" w14:textId="77777777" w:rsidR="00B368C8" w:rsidRPr="00D36AAF" w:rsidRDefault="00B368C8" w:rsidP="009467EC">
            <w:pPr>
              <w:spacing w:after="0" w:line="240" w:lineRule="auto"/>
              <w:jc w:val="center"/>
              <w:rPr>
                <w:rFonts w:ascii="Calibri" w:eastAsia="Times New Roman" w:hAnsi="Calibri" w:cs="Calibri"/>
                <w:b/>
                <w:bCs/>
                <w:color w:val="000000"/>
                <w:sz w:val="21"/>
                <w:szCs w:val="21"/>
                <w:lang w:eastAsia="en-GB"/>
              </w:rPr>
            </w:pPr>
            <w:r w:rsidRPr="00D36AAF">
              <w:rPr>
                <w:rFonts w:ascii="Calibri" w:eastAsia="Times New Roman" w:hAnsi="Calibri" w:cs="Calibri"/>
                <w:b/>
                <w:bCs/>
                <w:color w:val="000000"/>
                <w:sz w:val="21"/>
                <w:szCs w:val="21"/>
                <w:lang w:eastAsia="en-GB"/>
              </w:rPr>
              <w:t>No</w:t>
            </w:r>
          </w:p>
        </w:tc>
      </w:tr>
      <w:tr w:rsidR="00B368C8" w:rsidRPr="00D36AAF" w14:paraId="07A00032" w14:textId="77777777" w:rsidTr="00B368C8">
        <w:trPr>
          <w:trHeight w:val="300"/>
        </w:trPr>
        <w:tc>
          <w:tcPr>
            <w:tcW w:w="2127" w:type="dxa"/>
            <w:vMerge/>
            <w:vAlign w:val="center"/>
            <w:hideMark/>
          </w:tcPr>
          <w:p w14:paraId="03745CE2" w14:textId="77777777" w:rsidR="00B368C8" w:rsidRPr="00D36AAF" w:rsidRDefault="00B368C8" w:rsidP="009467EC">
            <w:pPr>
              <w:spacing w:after="0" w:line="240" w:lineRule="auto"/>
              <w:rPr>
                <w:rFonts w:ascii="Times New Roman" w:eastAsia="Times New Roman" w:hAnsi="Times New Roman" w:cs="Times New Roman"/>
                <w:sz w:val="24"/>
                <w:szCs w:val="24"/>
                <w:lang w:eastAsia="en-GB"/>
              </w:rPr>
            </w:pPr>
          </w:p>
        </w:tc>
        <w:tc>
          <w:tcPr>
            <w:tcW w:w="289" w:type="dxa"/>
            <w:shd w:val="clear" w:color="000000" w:fill="A9D27F"/>
            <w:noWrap/>
            <w:vAlign w:val="center"/>
            <w:hideMark/>
          </w:tcPr>
          <w:p w14:paraId="221BED78" w14:textId="77777777" w:rsidR="00B368C8" w:rsidRPr="00D36AAF" w:rsidRDefault="00B368C8" w:rsidP="009467EC">
            <w:pPr>
              <w:spacing w:after="0" w:line="240" w:lineRule="auto"/>
              <w:jc w:val="center"/>
              <w:rPr>
                <w:rFonts w:ascii="Calibri" w:eastAsia="Times New Roman" w:hAnsi="Calibri" w:cs="Calibri"/>
                <w:b/>
                <w:bCs/>
                <w:color w:val="000000"/>
                <w:sz w:val="21"/>
                <w:szCs w:val="21"/>
                <w:lang w:eastAsia="en-GB"/>
              </w:rPr>
            </w:pPr>
            <w:r w:rsidRPr="00D36AAF">
              <w:rPr>
                <w:rFonts w:ascii="Calibri" w:eastAsia="Times New Roman" w:hAnsi="Calibri" w:cs="Calibri"/>
                <w:b/>
                <w:bCs/>
                <w:color w:val="000000"/>
                <w:sz w:val="21"/>
                <w:szCs w:val="21"/>
                <w:lang w:eastAsia="en-GB"/>
              </w:rPr>
              <w:t>7</w:t>
            </w:r>
          </w:p>
        </w:tc>
        <w:tc>
          <w:tcPr>
            <w:tcW w:w="656" w:type="dxa"/>
            <w:shd w:val="clear" w:color="000000" w:fill="FA8E72"/>
            <w:noWrap/>
            <w:vAlign w:val="center"/>
            <w:hideMark/>
          </w:tcPr>
          <w:p w14:paraId="2471E43F" w14:textId="77777777" w:rsidR="00B368C8" w:rsidRPr="00D36AAF" w:rsidRDefault="00B368C8" w:rsidP="009467EC">
            <w:pPr>
              <w:spacing w:after="0" w:line="240" w:lineRule="auto"/>
              <w:jc w:val="center"/>
              <w:rPr>
                <w:rFonts w:ascii="Calibri" w:eastAsia="Times New Roman" w:hAnsi="Calibri" w:cs="Calibri"/>
                <w:b/>
                <w:bCs/>
                <w:color w:val="000000"/>
                <w:sz w:val="21"/>
                <w:szCs w:val="21"/>
                <w:lang w:eastAsia="en-GB"/>
              </w:rPr>
            </w:pPr>
            <w:r w:rsidRPr="00D36AAF">
              <w:rPr>
                <w:rFonts w:ascii="Calibri" w:eastAsia="Times New Roman" w:hAnsi="Calibri" w:cs="Calibri"/>
                <w:b/>
                <w:bCs/>
                <w:color w:val="000000"/>
                <w:sz w:val="21"/>
                <w:szCs w:val="21"/>
                <w:lang w:eastAsia="en-GB"/>
              </w:rPr>
              <w:t>2</w:t>
            </w:r>
          </w:p>
        </w:tc>
      </w:tr>
      <w:tr w:rsidR="00B368C8" w:rsidRPr="00D36AAF" w14:paraId="5B920838" w14:textId="77777777" w:rsidTr="00B368C8">
        <w:trPr>
          <w:trHeight w:val="288"/>
        </w:trPr>
        <w:tc>
          <w:tcPr>
            <w:tcW w:w="2127" w:type="dxa"/>
            <w:shd w:val="clear" w:color="auto" w:fill="auto"/>
            <w:noWrap/>
            <w:vAlign w:val="center"/>
            <w:hideMark/>
          </w:tcPr>
          <w:p w14:paraId="20343623" w14:textId="77777777" w:rsidR="00B368C8" w:rsidRPr="00D36AAF" w:rsidRDefault="00B368C8" w:rsidP="009467EC">
            <w:pPr>
              <w:spacing w:after="0" w:line="240" w:lineRule="auto"/>
              <w:jc w:val="right"/>
              <w:rPr>
                <w:rFonts w:ascii="Calibri" w:eastAsia="Times New Roman" w:hAnsi="Calibri" w:cs="Calibri"/>
                <w:color w:val="000000"/>
                <w:sz w:val="21"/>
                <w:szCs w:val="21"/>
                <w:lang w:eastAsia="en-GB"/>
              </w:rPr>
            </w:pPr>
            <w:r w:rsidRPr="00D36AAF">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0E0DAA7E" w14:textId="77777777" w:rsidR="00B368C8" w:rsidRPr="00D36AAF" w:rsidRDefault="00B368C8" w:rsidP="009467EC">
            <w:pPr>
              <w:spacing w:after="0" w:line="240" w:lineRule="auto"/>
              <w:jc w:val="center"/>
              <w:rPr>
                <w:rFonts w:ascii="Calibri" w:eastAsia="Times New Roman" w:hAnsi="Calibri" w:cs="Calibri"/>
                <w:color w:val="000000"/>
                <w:sz w:val="21"/>
                <w:szCs w:val="21"/>
                <w:lang w:eastAsia="en-GB"/>
              </w:rPr>
            </w:pPr>
            <w:r w:rsidRPr="00D36AAF">
              <w:rPr>
                <w:rFonts w:ascii="Calibri" w:eastAsia="Times New Roman" w:hAnsi="Calibri" w:cs="Calibri"/>
                <w:color w:val="000000"/>
                <w:sz w:val="21"/>
                <w:szCs w:val="21"/>
                <w:lang w:eastAsia="en-GB"/>
              </w:rPr>
              <w:t>3</w:t>
            </w:r>
          </w:p>
        </w:tc>
        <w:tc>
          <w:tcPr>
            <w:tcW w:w="656" w:type="dxa"/>
            <w:shd w:val="clear" w:color="auto" w:fill="auto"/>
            <w:noWrap/>
            <w:vAlign w:val="center"/>
            <w:hideMark/>
          </w:tcPr>
          <w:p w14:paraId="3D526C14" w14:textId="77777777" w:rsidR="00B368C8" w:rsidRPr="00D36AAF" w:rsidRDefault="00B368C8" w:rsidP="009467EC">
            <w:pPr>
              <w:spacing w:after="0" w:line="240" w:lineRule="auto"/>
              <w:jc w:val="center"/>
              <w:rPr>
                <w:rFonts w:ascii="Calibri" w:eastAsia="Times New Roman" w:hAnsi="Calibri" w:cs="Calibri"/>
                <w:color w:val="FFFFFF"/>
                <w:sz w:val="21"/>
                <w:szCs w:val="21"/>
                <w:lang w:eastAsia="en-GB"/>
              </w:rPr>
            </w:pPr>
            <w:r w:rsidRPr="00F77EC3">
              <w:rPr>
                <w:rFonts w:ascii="Calibri" w:eastAsia="Times New Roman" w:hAnsi="Calibri" w:cs="Calibri"/>
                <w:color w:val="FFFFFF" w:themeColor="background1"/>
                <w:sz w:val="21"/>
                <w:szCs w:val="21"/>
                <w:lang w:eastAsia="en-GB"/>
              </w:rPr>
              <w:t>0</w:t>
            </w:r>
          </w:p>
        </w:tc>
      </w:tr>
      <w:tr w:rsidR="00B368C8" w:rsidRPr="00D36AAF" w14:paraId="6390FB17" w14:textId="77777777" w:rsidTr="00B368C8">
        <w:trPr>
          <w:trHeight w:val="288"/>
        </w:trPr>
        <w:tc>
          <w:tcPr>
            <w:tcW w:w="2127" w:type="dxa"/>
            <w:shd w:val="clear" w:color="auto" w:fill="auto"/>
            <w:noWrap/>
            <w:vAlign w:val="center"/>
            <w:hideMark/>
          </w:tcPr>
          <w:p w14:paraId="0C522A88" w14:textId="77777777" w:rsidR="00B368C8" w:rsidRPr="00D36AAF" w:rsidRDefault="00B368C8" w:rsidP="009467EC">
            <w:pPr>
              <w:spacing w:after="0" w:line="240" w:lineRule="auto"/>
              <w:jc w:val="right"/>
              <w:rPr>
                <w:rFonts w:ascii="Calibri" w:eastAsia="Times New Roman" w:hAnsi="Calibri" w:cs="Calibri"/>
                <w:color w:val="000000"/>
                <w:sz w:val="21"/>
                <w:szCs w:val="21"/>
                <w:lang w:eastAsia="en-GB"/>
              </w:rPr>
            </w:pPr>
            <w:r w:rsidRPr="00D36AAF">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4736633F" w14:textId="77777777" w:rsidR="00B368C8" w:rsidRPr="00D36AAF" w:rsidRDefault="00B368C8" w:rsidP="009467EC">
            <w:pPr>
              <w:spacing w:after="0" w:line="240" w:lineRule="auto"/>
              <w:jc w:val="center"/>
              <w:rPr>
                <w:rFonts w:ascii="Calibri" w:eastAsia="Times New Roman" w:hAnsi="Calibri" w:cs="Calibri"/>
                <w:color w:val="000000"/>
                <w:sz w:val="21"/>
                <w:szCs w:val="21"/>
                <w:lang w:eastAsia="en-GB"/>
              </w:rPr>
            </w:pPr>
            <w:r w:rsidRPr="00D36AAF">
              <w:rPr>
                <w:rFonts w:ascii="Calibri" w:eastAsia="Times New Roman" w:hAnsi="Calibri" w:cs="Calibri"/>
                <w:color w:val="000000"/>
                <w:sz w:val="21"/>
                <w:szCs w:val="21"/>
                <w:lang w:eastAsia="en-GB"/>
              </w:rPr>
              <w:t>4</w:t>
            </w:r>
          </w:p>
        </w:tc>
        <w:tc>
          <w:tcPr>
            <w:tcW w:w="656" w:type="dxa"/>
            <w:shd w:val="clear" w:color="auto" w:fill="auto"/>
            <w:noWrap/>
            <w:vAlign w:val="center"/>
            <w:hideMark/>
          </w:tcPr>
          <w:p w14:paraId="0C8A3870" w14:textId="77777777" w:rsidR="00B368C8" w:rsidRPr="00D36AAF" w:rsidRDefault="00B368C8" w:rsidP="009467EC">
            <w:pPr>
              <w:spacing w:after="0" w:line="240" w:lineRule="auto"/>
              <w:jc w:val="center"/>
              <w:rPr>
                <w:rFonts w:ascii="Calibri" w:eastAsia="Times New Roman" w:hAnsi="Calibri" w:cs="Calibri"/>
                <w:color w:val="000000"/>
                <w:sz w:val="21"/>
                <w:szCs w:val="21"/>
                <w:lang w:eastAsia="en-GB"/>
              </w:rPr>
            </w:pPr>
            <w:r w:rsidRPr="00D36AAF">
              <w:rPr>
                <w:rFonts w:ascii="Calibri" w:eastAsia="Times New Roman" w:hAnsi="Calibri" w:cs="Calibri"/>
                <w:color w:val="000000"/>
                <w:sz w:val="21"/>
                <w:szCs w:val="21"/>
                <w:lang w:eastAsia="en-GB"/>
              </w:rPr>
              <w:t>2</w:t>
            </w:r>
          </w:p>
        </w:tc>
      </w:tr>
    </w:tbl>
    <w:p w14:paraId="0F1E1F9C" w14:textId="0A8A5ABD" w:rsidR="009467EC" w:rsidRDefault="009467EC" w:rsidP="009467EC">
      <w:pPr>
        <w:spacing w:before="240" w:after="120" w:line="276" w:lineRule="auto"/>
      </w:pPr>
      <w:r>
        <w:t>The</w:t>
      </w:r>
      <w:r w:rsidR="00B368C8">
        <w:t xml:space="preserve"> majority of </w:t>
      </w:r>
      <w:r>
        <w:t xml:space="preserve">respondents </w:t>
      </w:r>
      <w:r w:rsidR="00B368C8">
        <w:t xml:space="preserve">who provided an opinion were supportive of further </w:t>
      </w:r>
      <w:r>
        <w:t>investigation of supplemental data</w:t>
      </w:r>
      <w:r w:rsidR="00B368C8">
        <w:t>,</w:t>
      </w:r>
      <w:r>
        <w:t xml:space="preserve"> citing a range of specific examples</w:t>
      </w:r>
      <w:r w:rsidR="00B368C8">
        <w:t>.</w:t>
      </w:r>
      <w:r>
        <w:t xml:space="preserve"> </w:t>
      </w:r>
      <w:r w:rsidR="00B368C8">
        <w:t xml:space="preserve">A minority </w:t>
      </w:r>
      <w:r>
        <w:t xml:space="preserve">group did not wish the DSB to investigate this aspect further. </w:t>
      </w:r>
    </w:p>
    <w:p w14:paraId="11AF5175" w14:textId="3BEBF792" w:rsidR="009467EC" w:rsidRDefault="009467EC" w:rsidP="009467EC">
      <w:pPr>
        <w:spacing w:before="240" w:after="120" w:line="276" w:lineRule="auto"/>
      </w:pPr>
      <w:r>
        <w:t>The following examples were cited by respondents, seek</w:t>
      </w:r>
      <w:r w:rsidR="007B2517">
        <w:t>ing</w:t>
      </w:r>
      <w:r>
        <w:t xml:space="preserve"> to leverage the ISIN-LEI link with a view to streamlining access to other data in the public domain that might be helpful in the course of derivatives data processing:</w:t>
      </w:r>
    </w:p>
    <w:p w14:paraId="0DD4A84F" w14:textId="668563D1" w:rsidR="009467EC" w:rsidRPr="00E07303" w:rsidRDefault="009467EC" w:rsidP="009467EC">
      <w:pPr>
        <w:pStyle w:val="ListParagraph"/>
        <w:numPr>
          <w:ilvl w:val="0"/>
          <w:numId w:val="30"/>
        </w:numPr>
        <w:spacing w:before="240" w:after="120" w:line="276" w:lineRule="auto"/>
      </w:pPr>
      <w:r w:rsidRPr="00E07303">
        <w:t>accessing via a single source, the issuer LEI attached to each (relevant) ISIN and processing it internally within the user’s systems which would then rearrange the data to have the list of all ISINs under one issuer</w:t>
      </w:r>
    </w:p>
    <w:p w14:paraId="32499805" w14:textId="58DE1788" w:rsidR="009467EC" w:rsidRDefault="009467EC" w:rsidP="009467EC">
      <w:pPr>
        <w:pStyle w:val="ListParagraph"/>
        <w:numPr>
          <w:ilvl w:val="0"/>
          <w:numId w:val="30"/>
        </w:numPr>
        <w:spacing w:before="240" w:after="120" w:line="276" w:lineRule="auto"/>
      </w:pPr>
      <w:r w:rsidRPr="00705D6B">
        <w:t xml:space="preserve">getting from one source this “pre-packaged” list of ALL ISINs of a particular bond type category under one LEI OR the list of ALL ISINs of a particular </w:t>
      </w:r>
      <w:r w:rsidR="00DE3CA2">
        <w:t>Structured Finance Products (</w:t>
      </w:r>
      <w:r w:rsidRPr="00705D6B">
        <w:t>SFP</w:t>
      </w:r>
      <w:r w:rsidR="00DE3CA2">
        <w:t>s)</w:t>
      </w:r>
      <w:r w:rsidRPr="00705D6B">
        <w:t xml:space="preserve"> under one LEI.</w:t>
      </w:r>
      <w:r>
        <w:t xml:space="preserve"> For </w:t>
      </w:r>
      <w:r w:rsidRPr="00E07303">
        <w:t>convertible bonds</w:t>
      </w:r>
      <w:r>
        <w:t xml:space="preserve"> this would provide the </w:t>
      </w:r>
      <w:r w:rsidRPr="00E07303">
        <w:t xml:space="preserve">underlying ISIN </w:t>
      </w:r>
      <w:r>
        <w:t xml:space="preserve">for a </w:t>
      </w:r>
      <w:r>
        <w:lastRenderedPageBreak/>
        <w:t xml:space="preserve">given OTC derivative, alongside </w:t>
      </w:r>
      <w:r w:rsidRPr="00E07303">
        <w:t xml:space="preserve">with </w:t>
      </w:r>
      <w:r>
        <w:t xml:space="preserve">the </w:t>
      </w:r>
      <w:r w:rsidRPr="00E07303">
        <w:t>underlying issuer (LEI)</w:t>
      </w:r>
      <w:r>
        <w:t xml:space="preserve"> a</w:t>
      </w:r>
      <w:r w:rsidRPr="00E07303">
        <w:t>nd total issued nominal amount</w:t>
      </w:r>
    </w:p>
    <w:p w14:paraId="4C59CFEF" w14:textId="643A87E2" w:rsidR="009467EC" w:rsidRDefault="009467EC" w:rsidP="009467EC">
      <w:pPr>
        <w:pStyle w:val="ListParagraph"/>
        <w:numPr>
          <w:ilvl w:val="0"/>
          <w:numId w:val="30"/>
        </w:numPr>
        <w:spacing w:before="240" w:after="120" w:line="276" w:lineRule="auto"/>
      </w:pPr>
      <w:r>
        <w:t xml:space="preserve">LEI-ISIN mapping facility for bonds and SFPs including identifying which bond/SFP issuer LEI exists for any given ISIN and vice versa to help determine all the ISINs under each bond/SFP issuer LEI </w:t>
      </w:r>
    </w:p>
    <w:p w14:paraId="2C8ACEAE" w14:textId="77777777" w:rsidR="009467EC" w:rsidRDefault="009467EC" w:rsidP="009467EC">
      <w:pPr>
        <w:pStyle w:val="ListParagraph"/>
        <w:numPr>
          <w:ilvl w:val="0"/>
          <w:numId w:val="30"/>
        </w:numPr>
        <w:spacing w:before="240" w:after="240" w:line="276" w:lineRule="auto"/>
        <w:ind w:left="714" w:hanging="357"/>
        <w:contextualSpacing w:val="0"/>
      </w:pPr>
      <w:r>
        <w:t>Another enhancement to the ISIN and LEI relationship could be obtained through an extra mapping between LEI &amp; MIC codes (Operating &amp; Segment)</w:t>
      </w:r>
    </w:p>
    <w:p w14:paraId="1EC5803A" w14:textId="2D6B50E2" w:rsidR="009467EC" w:rsidRDefault="009467EC" w:rsidP="00C5563B">
      <w:pPr>
        <w:spacing w:before="240"/>
        <w:rPr>
          <w:u w:val="single"/>
        </w:rPr>
      </w:pPr>
      <w:r>
        <w:rPr>
          <w:u w:val="single"/>
        </w:rPr>
        <w:t>Analysis of Responses</w:t>
      </w:r>
    </w:p>
    <w:p w14:paraId="2BD80FE5" w14:textId="4653D866" w:rsidR="00C23ABE" w:rsidRDefault="00F80954" w:rsidP="009467EC">
      <w:r>
        <w:t>In light of the number of specific examples cited by respondents as being helpful for the DSB to investigate further, the DSB believes further analysis is beneficial</w:t>
      </w:r>
      <w:r w:rsidR="00A85985">
        <w:t xml:space="preserve"> and proposes that the PC examine </w:t>
      </w:r>
      <w:r w:rsidR="00741BB7">
        <w:t xml:space="preserve">the proposals above and determine if there are specific </w:t>
      </w:r>
      <w:r w:rsidR="008E5CBC">
        <w:t xml:space="preserve">(relevant) </w:t>
      </w:r>
      <w:r w:rsidR="00741BB7">
        <w:t xml:space="preserve">workflows the DSB </w:t>
      </w:r>
      <w:r w:rsidR="008E5CBC">
        <w:t>should s</w:t>
      </w:r>
      <w:r w:rsidR="00741BB7">
        <w:t xml:space="preserve">upport as a central utility. </w:t>
      </w:r>
    </w:p>
    <w:p w14:paraId="4ADF5FC2" w14:textId="19A1AAA2" w:rsidR="004D5F40" w:rsidRPr="00DB0FB4" w:rsidRDefault="00C23ABE" w:rsidP="009467EC">
      <w:r>
        <w:t xml:space="preserve">In the event the </w:t>
      </w:r>
      <w:r w:rsidR="00F10103">
        <w:t xml:space="preserve">industry </w:t>
      </w:r>
      <w:r>
        <w:t xml:space="preserve">analysis concludes that there </w:t>
      </w:r>
      <w:r w:rsidR="00F10103">
        <w:t xml:space="preserve">were tangible </w:t>
      </w:r>
      <w:r w:rsidR="008E5CBC">
        <w:t xml:space="preserve">next steps for the DSB to progress, the </w:t>
      </w:r>
      <w:r w:rsidR="00741BB7">
        <w:t xml:space="preserve">results of the analysis would be presented to industry </w:t>
      </w:r>
      <w:r>
        <w:t xml:space="preserve">for determination </w:t>
      </w:r>
      <w:r w:rsidR="001207D6">
        <w:t xml:space="preserve">of </w:t>
      </w:r>
      <w:r>
        <w:t>next step</w:t>
      </w:r>
      <w:r w:rsidR="001207D6">
        <w:t>s</w:t>
      </w:r>
      <w:proofErr w:type="gramStart"/>
      <w:r w:rsidR="001207D6">
        <w:t xml:space="preserve">. </w:t>
      </w:r>
      <w:r w:rsidR="00A70DDE">
        <w:t>.</w:t>
      </w:r>
      <w:proofErr w:type="gramEnd"/>
      <w:r w:rsidR="00A70DDE">
        <w:t xml:space="preserve"> </w:t>
      </w:r>
      <w:r w:rsidR="004D5F40" w:rsidRPr="00DB0FB4">
        <w:t>Furthermo</w:t>
      </w:r>
      <w:r w:rsidR="004D5F40">
        <w:t xml:space="preserve">re, </w:t>
      </w:r>
      <w:r w:rsidR="005A0D4A">
        <w:t xml:space="preserve">on the assumption that industry agrees for the DSB to implement the LEI-ISIN mapping as per CP1 Q2.2(b) &amp; (c), there may be benefits in performing such analysis after the </w:t>
      </w:r>
      <w:r w:rsidR="00782B91">
        <w:t xml:space="preserve">analysis </w:t>
      </w:r>
      <w:r w:rsidR="005A0D4A">
        <w:t xml:space="preserve">of the core functionality provided in CP1 Q2.2(b) &amp; (c), so that the experience gained from the initial </w:t>
      </w:r>
      <w:r w:rsidR="00782B91">
        <w:t xml:space="preserve">evaluation </w:t>
      </w:r>
      <w:r w:rsidR="005A0D4A">
        <w:t>can be leveraged in the subsequent analysis.</w:t>
      </w:r>
    </w:p>
    <w:p w14:paraId="19D4E500" w14:textId="7C3AEDC2" w:rsidR="009467EC" w:rsidRDefault="009467EC" w:rsidP="00C5563B">
      <w:pPr>
        <w:spacing w:before="240"/>
        <w:rPr>
          <w:u w:val="single"/>
        </w:rPr>
      </w:pPr>
      <w:r>
        <w:rPr>
          <w:u w:val="single"/>
        </w:rPr>
        <w:t>DSB Proposed Next Steps</w:t>
      </w:r>
    </w:p>
    <w:p w14:paraId="1182F4D0" w14:textId="77777777" w:rsidR="00B91524" w:rsidRPr="00FA7CBE" w:rsidRDefault="00B91524" w:rsidP="00B91524">
      <w:r w:rsidRPr="00FA7CBE">
        <w:t xml:space="preserve">The DSB </w:t>
      </w:r>
      <w:r>
        <w:t xml:space="preserve">views the user requests for further analysis as being achievable with existing DSB business as usual resources and will therefore look to progress the suggested analysis as part of the existing PC secretariat, subject to prioritisation by the PC. </w:t>
      </w:r>
    </w:p>
    <w:p w14:paraId="36B7D628" w14:textId="59C1A27C" w:rsidR="009A5049" w:rsidRDefault="00BA06C8" w:rsidP="009A5049">
      <w:pPr>
        <w:rPr>
          <w:rFonts w:ascii="Calibri" w:eastAsia="Times New Roman" w:hAnsi="Calibri" w:cs="Calibri"/>
          <w:color w:val="000000"/>
          <w:lang w:eastAsia="en-GB"/>
        </w:rPr>
      </w:pPr>
      <w:r w:rsidRPr="00BB1525">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97152" behindDoc="1" locked="0" layoutInCell="1" allowOverlap="1" wp14:anchorId="2D10F38D" wp14:editId="7554ABFD">
                <wp:simplePos x="0" y="0"/>
                <wp:positionH relativeFrom="margin">
                  <wp:posOffset>-2540</wp:posOffset>
                </wp:positionH>
                <wp:positionV relativeFrom="paragraph">
                  <wp:posOffset>533400</wp:posOffset>
                </wp:positionV>
                <wp:extent cx="5716905" cy="1404620"/>
                <wp:effectExtent l="0" t="0" r="17145" b="21590"/>
                <wp:wrapTight wrapText="bothSides">
                  <wp:wrapPolygon edited="0">
                    <wp:start x="0" y="0"/>
                    <wp:lineTo x="0" y="21676"/>
                    <wp:lineTo x="21593" y="21676"/>
                    <wp:lineTo x="21593" y="0"/>
                    <wp:lineTo x="0"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D82ECF1" w14:textId="671D5BB6" w:rsidR="00D52BA4" w:rsidRDefault="00D52BA4" w:rsidP="009467E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F80954">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perform initial analysis to further explore the supplemental data examples cited by users as part of the DSB’s business as usual resourcing and prioritisation</w:t>
                            </w:r>
                            <w:r w:rsidRPr="00716426">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10F38D" id="Text Box 32" o:spid="_x0000_s1052" type="#_x0000_t202" style="position:absolute;margin-left:-.2pt;margin-top:42pt;width:450.15pt;height:110.6pt;z-index:-251619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">
                <v:textbox style="mso-fit-shape-to-text:t">
                  <w:txbxContent>
                    <w:p w14:paraId="2D82ECF1" w14:textId="671D5BB6" w:rsidR="00D52BA4" w:rsidRDefault="00D52BA4" w:rsidP="009467E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F80954">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perform initial analysis to further explore the supplemental data examples cited by users as part of the DSB’s business as usual resourcing and prioritisation</w:t>
                      </w:r>
                      <w:r w:rsidRPr="00716426">
                        <w:rPr>
                          <w:rStyle w:val="eop"/>
                          <w:rFonts w:ascii="Calibri" w:eastAsiaTheme="majorEastAsia" w:hAnsi="Calibri" w:cs="Calibri"/>
                          <w:sz w:val="22"/>
                          <w:szCs w:val="22"/>
                        </w:rPr>
                        <w:t>?</w:t>
                      </w:r>
                    </w:p>
                  </w:txbxContent>
                </v:textbox>
                <w10:wrap type="tight" anchorx="margin"/>
              </v:shape>
            </w:pict>
          </mc:Fallback>
        </mc:AlternateContent>
      </w:r>
    </w:p>
    <w:bookmarkStart w:id="79" w:name="_Ref13073735"/>
    <w:bookmarkStart w:id="80" w:name="_Toc13157230"/>
    <w:p w14:paraId="459F9B64" w14:textId="6A1BB9B4" w:rsidR="009A5049" w:rsidRDefault="00A622C4" w:rsidP="009A5049">
      <w:pPr>
        <w:pStyle w:val="Heading3"/>
      </w:pPr>
      <w:r>
        <w:rPr>
          <w:noProof/>
          <w:lang w:eastAsia="en-GB"/>
        </w:rPr>
        <w:lastRenderedPageBreak/>
        <mc:AlternateContent>
          <mc:Choice Requires="wps">
            <w:drawing>
              <wp:anchor distT="45720" distB="45720" distL="114300" distR="114300" simplePos="0" relativeHeight="251704320" behindDoc="0" locked="0" layoutInCell="1" allowOverlap="1" wp14:anchorId="4C96A8FB" wp14:editId="515A08D6">
                <wp:simplePos x="0" y="0"/>
                <wp:positionH relativeFrom="margin">
                  <wp:posOffset>-13447</wp:posOffset>
                </wp:positionH>
                <wp:positionV relativeFrom="paragraph">
                  <wp:posOffset>295984</wp:posOffset>
                </wp:positionV>
                <wp:extent cx="5716905" cy="1404620"/>
                <wp:effectExtent l="0" t="0" r="17145" b="2476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82A336A"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9A5049">
                              <w:rPr>
                                <w:rStyle w:val="normaltextrun"/>
                                <w:rFonts w:ascii="Calibri" w:hAnsi="Calibri" w:cs="Calibri"/>
                                <w:color w:val="000000"/>
                                <w:sz w:val="22"/>
                                <w:szCs w:val="22"/>
                              </w:rPr>
                              <w:t xml:space="preserve">Mapping of index and/or reference rate names and underlying identifiers where these are available   </w:t>
                            </w:r>
                          </w:p>
                          <w:p w14:paraId="26031861"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Currently, DSB users create OTC ISINs and CFI codes for index and/or reference rate related derivatives by selecting the name of the reference rate and/or underlying index, but frequently report an underlying identifier (usually the underlying ISIN) in the records submitted to regulators.  </w:t>
                            </w:r>
                          </w:p>
                          <w:p w14:paraId="5FCAF92C"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DSB currently maps underlying equity index names to associated ISINs – based on ad-hoc user feedback and updates. Where an underlying ISIN mapping exists, the DSB converts the underlying index name into the relevant underlying ISIN, so that only the underlying ISIN is available in the OTC ISIN record.  </w:t>
                            </w:r>
                          </w:p>
                          <w:p w14:paraId="08C5EA76"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current process requires that users searching for OTC derivatives on an index need to be aware of the associated underlying ISIN and search for both the index name and the underlying ISIN in order to identify whether the relevant OTC derivative data record exists in the DSB database.  </w:t>
                            </w:r>
                          </w:p>
                          <w:p w14:paraId="2BC06804" w14:textId="634543D2" w:rsidR="00D52BA4"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DSB has received user requests to proactively support systematic mapping (and publication) that would allow users creating an OTC derivative ISIN or CFI code to be able to consistently submit either the underlying index identifier or the name, with the DSB mapping between the two to ensure that only a single valid OTC derivative product record is created in each instance.  </w:t>
                            </w:r>
                          </w:p>
                          <w:p w14:paraId="1FD1386C" w14:textId="77777777" w:rsidR="00D52BA4" w:rsidRDefault="00D52BA4" w:rsidP="009A5049">
                            <w:r>
                              <w:rPr>
                                <w:rStyle w:val="normaltextrun"/>
                                <w:rFonts w:ascii="Calibri" w:hAnsi="Calibri" w:cs="Calibri"/>
                                <w:b/>
                                <w:bCs/>
                                <w:color w:val="000000"/>
                              </w:rPr>
                              <w:t xml:space="preserve">CP1 Question: </w:t>
                            </w:r>
                          </w:p>
                          <w:p w14:paraId="0F632F4F"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a)</w:t>
                            </w:r>
                            <w:r w:rsidRPr="009A5049">
                              <w:rPr>
                                <w:rStyle w:val="normaltextrun"/>
                                <w:rFonts w:ascii="Calibri" w:hAnsi="Calibri" w:cs="Calibri"/>
                                <w:color w:val="000000"/>
                                <w:sz w:val="22"/>
                                <w:szCs w:val="22"/>
                              </w:rPr>
                              <w:tab/>
                              <w:t>Does your firm use the DSB to create and/or search for OTC ISIN data for derivatives with an index and/or reference rate as an underlying instrument?</w:t>
                            </w:r>
                          </w:p>
                          <w:p w14:paraId="6B1A929C" w14:textId="386E5709"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b)</w:t>
                            </w:r>
                            <w:r w:rsidRPr="009A5049">
                              <w:rPr>
                                <w:rStyle w:val="normaltextrun"/>
                                <w:rFonts w:ascii="Calibri" w:hAnsi="Calibri" w:cs="Calibri"/>
                                <w:color w:val="000000"/>
                                <w:sz w:val="22"/>
                                <w:szCs w:val="22"/>
                              </w:rPr>
                              <w:tab/>
                              <w:t>If you answered “yes” to (a) above - should the DSB investigate provision of links to sources that might assist with mapping between the underlying index/reference rate names?</w:t>
                            </w:r>
                          </w:p>
                          <w:p w14:paraId="0E2D5EE1" w14:textId="7C0DB8E7" w:rsidR="00D52BA4" w:rsidRDefault="00D52BA4" w:rsidP="009A5049">
                            <w:pPr>
                              <w:pStyle w:val="paragraph"/>
                              <w:spacing w:before="240" w:beforeAutospacing="0" w:after="120" w:afterAutospacing="0" w:line="276" w:lineRule="auto"/>
                              <w:textAlignment w:val="baseline"/>
                            </w:pPr>
                            <w:r w:rsidRPr="009A5049">
                              <w:rPr>
                                <w:rStyle w:val="normaltextrun"/>
                                <w:rFonts w:ascii="Calibri" w:hAnsi="Calibri" w:cs="Calibri"/>
                                <w:color w:val="000000"/>
                                <w:sz w:val="22"/>
                                <w:szCs w:val="22"/>
                              </w:rPr>
                              <w:t>If you answered “yes” to (b) above – do you have a view on which identifiers should be used to assist with the mapping process and the most appropriate source of each identifier?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96A8FB" id="_x0000_s1053" type="#_x0000_t202" style="position:absolute;left:0;text-align:left;margin-left:-1.05pt;margin-top:23.3pt;width:450.1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">
                <v:textbox style="mso-fit-shape-to-text:t">
                  <w:txbxContent>
                    <w:p w14:paraId="182A336A"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9A5049">
                        <w:rPr>
                          <w:rStyle w:val="normaltextrun"/>
                          <w:rFonts w:ascii="Calibri" w:hAnsi="Calibri" w:cs="Calibri"/>
                          <w:color w:val="000000"/>
                          <w:sz w:val="22"/>
                          <w:szCs w:val="22"/>
                        </w:rPr>
                        <w:t xml:space="preserve">Mapping of index and/or reference rate names and underlying identifiers where these are available   </w:t>
                      </w:r>
                    </w:p>
                    <w:p w14:paraId="26031861"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Currently, DSB users create OTC ISINs and CFI codes for index and/or reference rate related derivatives by selecting the name of the reference rate and/or underlying index, but frequently report an underlying identifier (usually the underlying ISIN) in the records submitted to regulators.  </w:t>
                      </w:r>
                    </w:p>
                    <w:p w14:paraId="5FCAF92C"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DSB currently maps underlying equity index names to associated ISINs – based on ad-hoc user feedback and updates. Where an underlying ISIN mapping exists, the DSB converts the underlying index name into the relevant underlying ISIN, so that only the underlying ISIN is available in the OTC ISIN record.  </w:t>
                      </w:r>
                    </w:p>
                    <w:p w14:paraId="08C5EA76"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current process requires that users searching for OTC derivatives on an index need to be aware of the associated underlying ISIN and search for both the index name and the underlying ISIN in order to identify whether the relevant OTC derivative data record exists in the DSB database.  </w:t>
                      </w:r>
                    </w:p>
                    <w:p w14:paraId="2BC06804" w14:textId="634543D2" w:rsidR="00D52BA4"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 xml:space="preserve">The DSB has received user requests to proactively support systematic mapping (and publication) that would allow users creating an OTC derivative ISIN or CFI code to be able to consistently submit either the underlying index identifier or the name, with the DSB mapping between the two to ensure that only a single valid OTC derivative product record is created in each instance.  </w:t>
                      </w:r>
                    </w:p>
                    <w:p w14:paraId="1FD1386C" w14:textId="77777777" w:rsidR="00D52BA4" w:rsidRDefault="00D52BA4" w:rsidP="009A5049">
                      <w:r>
                        <w:rPr>
                          <w:rStyle w:val="normaltextrun"/>
                          <w:rFonts w:ascii="Calibri" w:hAnsi="Calibri" w:cs="Calibri"/>
                          <w:b/>
                          <w:bCs/>
                          <w:color w:val="000000"/>
                        </w:rPr>
                        <w:t xml:space="preserve">CP1 Question: </w:t>
                      </w:r>
                    </w:p>
                    <w:p w14:paraId="0F632F4F" w14:textId="77777777"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a)</w:t>
                      </w:r>
                      <w:r w:rsidRPr="009A5049">
                        <w:rPr>
                          <w:rStyle w:val="normaltextrun"/>
                          <w:rFonts w:ascii="Calibri" w:hAnsi="Calibri" w:cs="Calibri"/>
                          <w:color w:val="000000"/>
                          <w:sz w:val="22"/>
                          <w:szCs w:val="22"/>
                        </w:rPr>
                        <w:tab/>
                        <w:t>Does your firm use the DSB to create and/or search for OTC ISIN data for derivatives with an index and/or reference rate as an underlying instrument?</w:t>
                      </w:r>
                    </w:p>
                    <w:p w14:paraId="6B1A929C" w14:textId="386E5709" w:rsidR="00D52BA4" w:rsidRPr="009A5049" w:rsidRDefault="00D52BA4" w:rsidP="009A5049">
                      <w:pPr>
                        <w:pStyle w:val="paragraph"/>
                        <w:spacing w:before="240" w:after="120" w:line="276" w:lineRule="auto"/>
                        <w:textAlignment w:val="baseline"/>
                        <w:rPr>
                          <w:rStyle w:val="normaltextrun"/>
                          <w:rFonts w:ascii="Calibri" w:hAnsi="Calibri" w:cs="Calibri"/>
                          <w:color w:val="000000"/>
                          <w:sz w:val="22"/>
                          <w:szCs w:val="22"/>
                        </w:rPr>
                      </w:pPr>
                      <w:r w:rsidRPr="009A5049">
                        <w:rPr>
                          <w:rStyle w:val="normaltextrun"/>
                          <w:rFonts w:ascii="Calibri" w:hAnsi="Calibri" w:cs="Calibri"/>
                          <w:color w:val="000000"/>
                          <w:sz w:val="22"/>
                          <w:szCs w:val="22"/>
                        </w:rPr>
                        <w:t>b)</w:t>
                      </w:r>
                      <w:r w:rsidRPr="009A5049">
                        <w:rPr>
                          <w:rStyle w:val="normaltextrun"/>
                          <w:rFonts w:ascii="Calibri" w:hAnsi="Calibri" w:cs="Calibri"/>
                          <w:color w:val="000000"/>
                          <w:sz w:val="22"/>
                          <w:szCs w:val="22"/>
                        </w:rPr>
                        <w:tab/>
                        <w:t>If you answered “yes” to (a) above - should the DSB investigate provision of links to sources that might assist with mapping between the underlying index/reference rate names?</w:t>
                      </w:r>
                    </w:p>
                    <w:p w14:paraId="0E2D5EE1" w14:textId="7C0DB8E7" w:rsidR="00D52BA4" w:rsidRDefault="00D52BA4" w:rsidP="009A5049">
                      <w:pPr>
                        <w:pStyle w:val="paragraph"/>
                        <w:spacing w:before="240" w:beforeAutospacing="0" w:after="120" w:afterAutospacing="0" w:line="276" w:lineRule="auto"/>
                        <w:textAlignment w:val="baseline"/>
                      </w:pPr>
                      <w:r w:rsidRPr="009A5049">
                        <w:rPr>
                          <w:rStyle w:val="normaltextrun"/>
                          <w:rFonts w:ascii="Calibri" w:hAnsi="Calibri" w:cs="Calibri"/>
                          <w:color w:val="000000"/>
                          <w:sz w:val="22"/>
                          <w:szCs w:val="22"/>
                        </w:rPr>
                        <w:t>If you answered “yes” to (b) above – do you have a view on which identifiers should be used to assist with the mapping process and the most appropriate source of each identifier?</w:t>
                      </w:r>
                    </w:p>
                  </w:txbxContent>
                </v:textbox>
                <w10:wrap type="square" anchorx="margin"/>
              </v:shape>
            </w:pict>
          </mc:Fallback>
        </mc:AlternateContent>
      </w:r>
      <w:bookmarkStart w:id="81" w:name="_Toc13087143"/>
      <w:r w:rsidR="009A5049">
        <w:t>Q2.3 – MAPPING OF INDEX NAMES TO UNDERLYING IDENTIFIERS</w:t>
      </w:r>
      <w:bookmarkEnd w:id="79"/>
      <w:bookmarkEnd w:id="80"/>
      <w:bookmarkEnd w:id="81"/>
    </w:p>
    <w:p w14:paraId="17192386" w14:textId="50A133CA" w:rsidR="009A5049" w:rsidRDefault="009A5049" w:rsidP="00815088">
      <w:pPr>
        <w:spacing w:before="100" w:beforeAutospacing="1" w:after="0" w:line="276" w:lineRule="auto"/>
        <w:textAlignment w:val="baseline"/>
        <w:rPr>
          <w:u w:val="single"/>
        </w:rPr>
      </w:pPr>
      <w:r>
        <w:rPr>
          <w:u w:val="single"/>
        </w:rPr>
        <w:t>Industry Responses</w:t>
      </w:r>
    </w:p>
    <w:p w14:paraId="6C5B777F" w14:textId="34ECC4D5" w:rsidR="009A5049" w:rsidRDefault="009A5049" w:rsidP="00815088">
      <w:pPr>
        <w:spacing w:after="0" w:line="276" w:lineRule="auto"/>
      </w:pPr>
      <w:r>
        <w:t>The responses received to the question posed in the first consultation are set out below</w:t>
      </w:r>
    </w:p>
    <w:tbl>
      <w:tblPr>
        <w:tblW w:w="3298"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9A5049" w:rsidRPr="00DC546F" w14:paraId="59B42BBA" w14:textId="77777777" w:rsidTr="00815088">
        <w:trPr>
          <w:trHeight w:val="507"/>
        </w:trPr>
        <w:tc>
          <w:tcPr>
            <w:tcW w:w="2127" w:type="dxa"/>
            <w:vMerge w:val="restart"/>
            <w:shd w:val="clear" w:color="auto" w:fill="auto"/>
            <w:noWrap/>
            <w:vAlign w:val="center"/>
            <w:hideMark/>
          </w:tcPr>
          <w:p w14:paraId="0C0429DE" w14:textId="77777777" w:rsidR="009A5049" w:rsidRPr="00DC546F" w:rsidRDefault="009A5049" w:rsidP="001307B7">
            <w:pPr>
              <w:spacing w:after="0" w:line="240"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16C6DE53" w14:textId="77777777" w:rsidR="009A5049" w:rsidRPr="00DC546F" w:rsidRDefault="009A5049" w:rsidP="001307B7">
            <w:pPr>
              <w:spacing w:after="0" w:line="240" w:lineRule="auto"/>
              <w:jc w:val="center"/>
              <w:rPr>
                <w:rFonts w:ascii="Calibri" w:eastAsia="Times New Roman" w:hAnsi="Calibri" w:cs="Calibri"/>
                <w:b/>
                <w:bCs/>
                <w:sz w:val="21"/>
                <w:szCs w:val="21"/>
                <w:lang w:eastAsia="en-GB"/>
              </w:rPr>
            </w:pPr>
            <w:r w:rsidRPr="00DC546F">
              <w:rPr>
                <w:rFonts w:ascii="Calibri" w:eastAsia="Times New Roman" w:hAnsi="Calibri" w:cs="Calibri"/>
                <w:b/>
                <w:bCs/>
                <w:sz w:val="21"/>
                <w:szCs w:val="21"/>
                <w:lang w:eastAsia="en-GB"/>
              </w:rPr>
              <w:t>Yes</w:t>
            </w:r>
          </w:p>
        </w:tc>
        <w:tc>
          <w:tcPr>
            <w:tcW w:w="656" w:type="dxa"/>
            <w:shd w:val="clear" w:color="auto" w:fill="auto"/>
            <w:noWrap/>
            <w:vAlign w:val="center"/>
            <w:hideMark/>
          </w:tcPr>
          <w:p w14:paraId="664BE43A" w14:textId="77777777" w:rsidR="009A5049" w:rsidRPr="00DC546F" w:rsidRDefault="009A5049" w:rsidP="001307B7">
            <w:pPr>
              <w:spacing w:after="0" w:line="240" w:lineRule="auto"/>
              <w:jc w:val="center"/>
              <w:rPr>
                <w:rFonts w:ascii="Calibri" w:eastAsia="Times New Roman" w:hAnsi="Calibri" w:cs="Calibri"/>
                <w:b/>
                <w:bCs/>
                <w:sz w:val="21"/>
                <w:szCs w:val="21"/>
                <w:lang w:eastAsia="en-GB"/>
              </w:rPr>
            </w:pPr>
            <w:r w:rsidRPr="00DC546F">
              <w:rPr>
                <w:rFonts w:ascii="Calibri" w:eastAsia="Times New Roman" w:hAnsi="Calibri" w:cs="Calibri"/>
                <w:b/>
                <w:bCs/>
                <w:sz w:val="21"/>
                <w:szCs w:val="21"/>
                <w:lang w:eastAsia="en-GB"/>
              </w:rPr>
              <w:t>No</w:t>
            </w:r>
          </w:p>
        </w:tc>
      </w:tr>
      <w:tr w:rsidR="009A5049" w:rsidRPr="00DC546F" w14:paraId="199B3D44" w14:textId="77777777" w:rsidTr="009A5049">
        <w:trPr>
          <w:trHeight w:val="300"/>
        </w:trPr>
        <w:tc>
          <w:tcPr>
            <w:tcW w:w="2127" w:type="dxa"/>
            <w:vMerge/>
            <w:vAlign w:val="center"/>
            <w:hideMark/>
          </w:tcPr>
          <w:p w14:paraId="6FFE5A21" w14:textId="77777777" w:rsidR="009A5049" w:rsidRPr="00DC546F" w:rsidRDefault="009A5049" w:rsidP="001307B7">
            <w:pPr>
              <w:spacing w:after="0" w:line="240" w:lineRule="auto"/>
              <w:rPr>
                <w:rFonts w:ascii="Times New Roman" w:eastAsia="Times New Roman" w:hAnsi="Times New Roman" w:cs="Times New Roman"/>
                <w:sz w:val="24"/>
                <w:szCs w:val="24"/>
                <w:lang w:eastAsia="en-GB"/>
              </w:rPr>
            </w:pPr>
          </w:p>
        </w:tc>
        <w:tc>
          <w:tcPr>
            <w:tcW w:w="515" w:type="dxa"/>
            <w:shd w:val="clear" w:color="000000" w:fill="80C77D"/>
            <w:noWrap/>
            <w:vAlign w:val="center"/>
            <w:hideMark/>
          </w:tcPr>
          <w:p w14:paraId="0BD4A2D8" w14:textId="77777777" w:rsidR="009A5049" w:rsidRPr="00DC546F" w:rsidRDefault="009A5049" w:rsidP="001307B7">
            <w:pPr>
              <w:spacing w:after="0" w:line="240" w:lineRule="auto"/>
              <w:jc w:val="center"/>
              <w:rPr>
                <w:rFonts w:ascii="Calibri" w:eastAsia="Times New Roman" w:hAnsi="Calibri" w:cs="Calibri"/>
                <w:b/>
                <w:bCs/>
                <w:sz w:val="21"/>
                <w:szCs w:val="21"/>
                <w:lang w:eastAsia="en-GB"/>
              </w:rPr>
            </w:pPr>
            <w:r w:rsidRPr="00DC546F">
              <w:rPr>
                <w:rFonts w:ascii="Calibri" w:eastAsia="Times New Roman" w:hAnsi="Calibri" w:cs="Calibri"/>
                <w:b/>
                <w:bCs/>
                <w:sz w:val="21"/>
                <w:szCs w:val="21"/>
                <w:lang w:eastAsia="en-GB"/>
              </w:rPr>
              <w:t>9</w:t>
            </w:r>
          </w:p>
        </w:tc>
        <w:tc>
          <w:tcPr>
            <w:tcW w:w="656" w:type="dxa"/>
            <w:shd w:val="clear" w:color="000000" w:fill="F8696B"/>
            <w:noWrap/>
            <w:vAlign w:val="center"/>
            <w:hideMark/>
          </w:tcPr>
          <w:p w14:paraId="7777FFDF" w14:textId="77777777" w:rsidR="009A5049" w:rsidRPr="00DC546F" w:rsidRDefault="009A5049" w:rsidP="001307B7">
            <w:pPr>
              <w:spacing w:after="0" w:line="240" w:lineRule="auto"/>
              <w:jc w:val="center"/>
              <w:rPr>
                <w:rFonts w:ascii="Calibri" w:eastAsia="Times New Roman" w:hAnsi="Calibri" w:cs="Calibri"/>
                <w:b/>
                <w:bCs/>
                <w:sz w:val="21"/>
                <w:szCs w:val="21"/>
                <w:lang w:eastAsia="en-GB"/>
              </w:rPr>
            </w:pPr>
            <w:r w:rsidRPr="00DC546F">
              <w:rPr>
                <w:rFonts w:ascii="Calibri" w:eastAsia="Times New Roman" w:hAnsi="Calibri" w:cs="Calibri"/>
                <w:b/>
                <w:bCs/>
                <w:sz w:val="21"/>
                <w:szCs w:val="21"/>
                <w:lang w:eastAsia="en-GB"/>
              </w:rPr>
              <w:t>0</w:t>
            </w:r>
          </w:p>
        </w:tc>
      </w:tr>
      <w:tr w:rsidR="009A5049" w:rsidRPr="00AE5EC7" w14:paraId="750CB04C" w14:textId="77777777" w:rsidTr="009A5049">
        <w:trPr>
          <w:trHeight w:val="288"/>
        </w:trPr>
        <w:tc>
          <w:tcPr>
            <w:tcW w:w="2127" w:type="dxa"/>
            <w:shd w:val="clear" w:color="auto" w:fill="auto"/>
            <w:noWrap/>
            <w:vAlign w:val="center"/>
            <w:hideMark/>
          </w:tcPr>
          <w:p w14:paraId="738A156B" w14:textId="77777777" w:rsidR="009A5049" w:rsidRPr="00DC546F" w:rsidRDefault="009A5049" w:rsidP="001307B7">
            <w:pPr>
              <w:spacing w:after="0" w:line="240" w:lineRule="auto"/>
              <w:jc w:val="right"/>
              <w:rPr>
                <w:rFonts w:ascii="Calibri" w:eastAsia="Times New Roman" w:hAnsi="Calibri" w:cs="Calibri"/>
                <w:sz w:val="21"/>
                <w:szCs w:val="21"/>
                <w:lang w:eastAsia="en-GB"/>
              </w:rPr>
            </w:pPr>
            <w:r w:rsidRPr="00DC546F">
              <w:rPr>
                <w:rFonts w:ascii="Calibri" w:eastAsia="Times New Roman" w:hAnsi="Calibri" w:cs="Calibri"/>
                <w:sz w:val="21"/>
                <w:szCs w:val="21"/>
                <w:lang w:eastAsia="en-GB"/>
              </w:rPr>
              <w:t>Trade Associations</w:t>
            </w:r>
          </w:p>
        </w:tc>
        <w:tc>
          <w:tcPr>
            <w:tcW w:w="515" w:type="dxa"/>
            <w:shd w:val="clear" w:color="auto" w:fill="auto"/>
            <w:noWrap/>
            <w:vAlign w:val="center"/>
            <w:hideMark/>
          </w:tcPr>
          <w:p w14:paraId="1364A129" w14:textId="77777777" w:rsidR="009A5049" w:rsidRPr="00DC546F" w:rsidRDefault="009A5049" w:rsidP="001307B7">
            <w:pPr>
              <w:spacing w:after="0" w:line="240" w:lineRule="auto"/>
              <w:jc w:val="center"/>
              <w:rPr>
                <w:rFonts w:ascii="Calibri" w:eastAsia="Times New Roman" w:hAnsi="Calibri" w:cs="Calibri"/>
                <w:sz w:val="21"/>
                <w:szCs w:val="21"/>
                <w:lang w:eastAsia="en-GB"/>
              </w:rPr>
            </w:pPr>
            <w:r w:rsidRPr="00DC546F">
              <w:rPr>
                <w:rFonts w:ascii="Calibri" w:eastAsia="Times New Roman" w:hAnsi="Calibri" w:cs="Calibri"/>
                <w:sz w:val="21"/>
                <w:szCs w:val="21"/>
                <w:lang w:eastAsia="en-GB"/>
              </w:rPr>
              <w:t>4</w:t>
            </w:r>
          </w:p>
        </w:tc>
        <w:tc>
          <w:tcPr>
            <w:tcW w:w="656" w:type="dxa"/>
            <w:shd w:val="clear" w:color="auto" w:fill="auto"/>
            <w:noWrap/>
            <w:vAlign w:val="center"/>
            <w:hideMark/>
          </w:tcPr>
          <w:p w14:paraId="16875BF8" w14:textId="77777777" w:rsidR="009A5049" w:rsidRPr="00D20380" w:rsidRDefault="009A5049" w:rsidP="001307B7">
            <w:pPr>
              <w:spacing w:after="0" w:line="240" w:lineRule="auto"/>
              <w:jc w:val="center"/>
              <w:rPr>
                <w:rFonts w:ascii="Calibri" w:eastAsia="Times New Roman" w:hAnsi="Calibri" w:cs="Calibri"/>
                <w:color w:val="FFFFFF" w:themeColor="background1"/>
                <w:sz w:val="21"/>
                <w:szCs w:val="21"/>
                <w:lang w:eastAsia="en-GB"/>
              </w:rPr>
            </w:pPr>
            <w:r w:rsidRPr="00D20380">
              <w:rPr>
                <w:rFonts w:ascii="Calibri" w:eastAsia="Times New Roman" w:hAnsi="Calibri" w:cs="Calibri"/>
                <w:color w:val="FFFFFF" w:themeColor="background1"/>
                <w:sz w:val="21"/>
                <w:szCs w:val="21"/>
                <w:lang w:eastAsia="en-GB"/>
              </w:rPr>
              <w:t>0</w:t>
            </w:r>
          </w:p>
        </w:tc>
      </w:tr>
      <w:tr w:rsidR="009A5049" w:rsidRPr="00AE5EC7" w14:paraId="7AD889B3" w14:textId="77777777" w:rsidTr="009A5049">
        <w:trPr>
          <w:trHeight w:val="288"/>
        </w:trPr>
        <w:tc>
          <w:tcPr>
            <w:tcW w:w="2127" w:type="dxa"/>
            <w:shd w:val="clear" w:color="auto" w:fill="auto"/>
            <w:noWrap/>
            <w:vAlign w:val="center"/>
            <w:hideMark/>
          </w:tcPr>
          <w:p w14:paraId="02D442BB" w14:textId="77777777" w:rsidR="009A5049" w:rsidRPr="00DC546F" w:rsidRDefault="009A5049" w:rsidP="001307B7">
            <w:pPr>
              <w:spacing w:after="0" w:line="240" w:lineRule="auto"/>
              <w:jc w:val="right"/>
              <w:rPr>
                <w:rFonts w:ascii="Calibri" w:eastAsia="Times New Roman" w:hAnsi="Calibri" w:cs="Calibri"/>
                <w:sz w:val="21"/>
                <w:szCs w:val="21"/>
                <w:lang w:eastAsia="en-GB"/>
              </w:rPr>
            </w:pPr>
            <w:r w:rsidRPr="00DC546F">
              <w:rPr>
                <w:rFonts w:ascii="Calibri" w:eastAsia="Times New Roman" w:hAnsi="Calibri" w:cs="Calibri"/>
                <w:sz w:val="21"/>
                <w:szCs w:val="21"/>
                <w:lang w:eastAsia="en-GB"/>
              </w:rPr>
              <w:t>DSB Users</w:t>
            </w:r>
          </w:p>
        </w:tc>
        <w:tc>
          <w:tcPr>
            <w:tcW w:w="515" w:type="dxa"/>
            <w:shd w:val="clear" w:color="auto" w:fill="auto"/>
            <w:noWrap/>
            <w:vAlign w:val="center"/>
            <w:hideMark/>
          </w:tcPr>
          <w:p w14:paraId="2410C1CC" w14:textId="77777777" w:rsidR="009A5049" w:rsidRPr="00DC546F" w:rsidRDefault="009A5049" w:rsidP="001307B7">
            <w:pPr>
              <w:spacing w:after="0" w:line="240" w:lineRule="auto"/>
              <w:jc w:val="center"/>
              <w:rPr>
                <w:rFonts w:ascii="Calibri" w:eastAsia="Times New Roman" w:hAnsi="Calibri" w:cs="Calibri"/>
                <w:sz w:val="21"/>
                <w:szCs w:val="21"/>
                <w:lang w:eastAsia="en-GB"/>
              </w:rPr>
            </w:pPr>
            <w:r w:rsidRPr="00DC546F">
              <w:rPr>
                <w:rFonts w:ascii="Calibri" w:eastAsia="Times New Roman" w:hAnsi="Calibri" w:cs="Calibri"/>
                <w:sz w:val="21"/>
                <w:szCs w:val="21"/>
                <w:lang w:eastAsia="en-GB"/>
              </w:rPr>
              <w:t>5</w:t>
            </w:r>
          </w:p>
        </w:tc>
        <w:tc>
          <w:tcPr>
            <w:tcW w:w="656" w:type="dxa"/>
            <w:shd w:val="clear" w:color="auto" w:fill="auto"/>
            <w:noWrap/>
            <w:vAlign w:val="center"/>
            <w:hideMark/>
          </w:tcPr>
          <w:p w14:paraId="31E77BFD" w14:textId="77777777" w:rsidR="009A5049" w:rsidRPr="00D20380" w:rsidRDefault="009A5049" w:rsidP="001307B7">
            <w:pPr>
              <w:spacing w:after="0" w:line="240" w:lineRule="auto"/>
              <w:jc w:val="center"/>
              <w:rPr>
                <w:rFonts w:ascii="Calibri" w:eastAsia="Times New Roman" w:hAnsi="Calibri" w:cs="Calibri"/>
                <w:color w:val="FFFFFF" w:themeColor="background1"/>
                <w:sz w:val="21"/>
                <w:szCs w:val="21"/>
                <w:lang w:eastAsia="en-GB"/>
              </w:rPr>
            </w:pPr>
            <w:r w:rsidRPr="00D20380">
              <w:rPr>
                <w:rFonts w:ascii="Calibri" w:eastAsia="Times New Roman" w:hAnsi="Calibri" w:cs="Calibri"/>
                <w:color w:val="FFFFFF" w:themeColor="background1"/>
                <w:sz w:val="21"/>
                <w:szCs w:val="21"/>
                <w:lang w:eastAsia="en-GB"/>
              </w:rPr>
              <w:t>0</w:t>
            </w:r>
          </w:p>
        </w:tc>
      </w:tr>
    </w:tbl>
    <w:p w14:paraId="3C6606DE" w14:textId="1CF6D0BA" w:rsidR="009A5049" w:rsidRDefault="009A5049" w:rsidP="009A5049">
      <w:pPr>
        <w:spacing w:before="240" w:after="120" w:line="276" w:lineRule="auto"/>
      </w:pPr>
      <w:r>
        <w:lastRenderedPageBreak/>
        <w:t xml:space="preserve">All respondents who expressed a view supported further investigation of underlying index and/or reference rate names – with a focus on indices – where these are available. </w:t>
      </w:r>
    </w:p>
    <w:p w14:paraId="312244C5" w14:textId="77777777" w:rsidR="009A5049" w:rsidRDefault="009A5049" w:rsidP="009A5049">
      <w:pPr>
        <w:spacing w:before="240" w:after="240" w:line="276" w:lineRule="auto"/>
      </w:pPr>
      <w:r>
        <w:t>The general view was that t</w:t>
      </w:r>
      <w:r w:rsidRPr="00B52045">
        <w:t>here should only be a single version of the ISIN where the underlying is the same, rather than one ISIN where the underlying is identified by name and one ISIN where its identified with a code. The name and identifier should be synonymous so that using either in a query would return th</w:t>
      </w:r>
      <w:r>
        <w:t xml:space="preserve">e identical OTC </w:t>
      </w:r>
      <w:r w:rsidRPr="00B52045">
        <w:t>ISIN.</w:t>
      </w:r>
    </w:p>
    <w:p w14:paraId="0AB51668" w14:textId="77777777" w:rsidR="009A5049" w:rsidRDefault="009A5049" w:rsidP="009A5049">
      <w:pPr>
        <w:spacing w:before="240" w:after="240" w:line="276" w:lineRule="auto"/>
      </w:pPr>
      <w:r>
        <w:t>There was also a view that the DSB should seek to provide a more comprehensive list of underlying indices to users, to better align with market practice. Respondents suggested various sources of index data including Bloomberg, ICE Data Services, Reuters, National Numbering Agencies, etc.).</w:t>
      </w:r>
    </w:p>
    <w:p w14:paraId="3A747724" w14:textId="54D7963D" w:rsidR="009A5049" w:rsidRDefault="009A5049" w:rsidP="009A5049">
      <w:pPr>
        <w:rPr>
          <w:u w:val="single"/>
        </w:rPr>
      </w:pPr>
      <w:r>
        <w:rPr>
          <w:u w:val="single"/>
        </w:rPr>
        <w:t>Analysis of Responses</w:t>
      </w:r>
    </w:p>
    <w:p w14:paraId="6DAB7BFF" w14:textId="660A0D1E" w:rsidR="001966FE" w:rsidRPr="001966FE" w:rsidRDefault="001966FE" w:rsidP="009A5049">
      <w:r w:rsidRPr="001966FE">
        <w:t>Given the</w:t>
      </w:r>
      <w:r>
        <w:t xml:space="preserve"> clear demand from industry for a mapping service between index names to underlying identifiers, the DSB proposes to progress this analysis. </w:t>
      </w:r>
      <w:r w:rsidR="00ED3B32">
        <w:t>Unfortunately,</w:t>
      </w:r>
      <w:r>
        <w:t xml:space="preserve"> not enough is known about potential implementation costs for the DSB to be able to provide such figures. </w:t>
      </w:r>
      <w:r w:rsidR="001A434E">
        <w:t>Therefore,</w:t>
      </w:r>
      <w:r>
        <w:t xml:space="preserve"> the DSB believes the next steps should be to perform an initial analysis that articulates the potential benefits and the costs, so that industry can make an informed decision once the information is available.</w:t>
      </w:r>
    </w:p>
    <w:p w14:paraId="210B610B" w14:textId="368EBD89" w:rsidR="009A5049" w:rsidRDefault="009A5049" w:rsidP="00C5563B">
      <w:pPr>
        <w:spacing w:before="240"/>
        <w:rPr>
          <w:u w:val="single"/>
        </w:rPr>
      </w:pPr>
      <w:r>
        <w:rPr>
          <w:u w:val="single"/>
        </w:rPr>
        <w:t>DSB Proposed Next Steps</w:t>
      </w:r>
    </w:p>
    <w:p w14:paraId="3E5F20A2" w14:textId="77777777" w:rsidR="001966FE" w:rsidRDefault="001966FE" w:rsidP="001966FE">
      <w:pPr>
        <w:spacing w:before="240" w:after="120" w:line="276" w:lineRule="auto"/>
      </w:pPr>
      <w:r>
        <w:t xml:space="preserve">The DSB proposes to perform the business and technical analysis, working with the PC to identify the specific asset classes that industry wishes the DSB to focus on, identification of the desired data sources, an examination of the workflows to integrate the additional data into DSB product templates and the effort to implement a solution to allow publication of the data in OTC derivative reference data records. </w:t>
      </w:r>
    </w:p>
    <w:p w14:paraId="1C7FF965" w14:textId="77777777" w:rsidR="001966FE" w:rsidRDefault="001966FE" w:rsidP="001966FE">
      <w:pPr>
        <w:spacing w:before="240" w:after="120" w:line="276" w:lineRule="auto"/>
      </w:pPr>
      <w:r>
        <w:t xml:space="preserve">The DSB also proposes to work with the TAC in order to determine the relevant technology requirements. </w:t>
      </w:r>
    </w:p>
    <w:p w14:paraId="5AECD72C" w14:textId="6EF9AF8F" w:rsidR="00AE268B" w:rsidRDefault="001966FE" w:rsidP="00DB0FB4">
      <w:pPr>
        <w:spacing w:before="240" w:after="120" w:line="276" w:lineRule="auto"/>
        <w:rPr>
          <w:bCs/>
        </w:rPr>
      </w:pPr>
      <w:r>
        <w:t>This period of analysis will require additional DSB resource, in light of the already significant DSB BAU schedule</w:t>
      </w:r>
      <w:r w:rsidR="00AE268B">
        <w:t xml:space="preserve">. </w:t>
      </w:r>
      <w:r w:rsidR="00AE268B">
        <w:rPr>
          <w:bCs/>
        </w:rPr>
        <w:t>Cost estimates:</w:t>
      </w:r>
    </w:p>
    <w:p w14:paraId="4B078A20" w14:textId="7C9C3D58" w:rsidR="00AE268B" w:rsidRDefault="00AE268B" w:rsidP="00AE268B">
      <w:pPr>
        <w:pStyle w:val="ListParagraph"/>
        <w:numPr>
          <w:ilvl w:val="0"/>
          <w:numId w:val="48"/>
        </w:numPr>
        <w:spacing w:after="100" w:afterAutospacing="1" w:line="276" w:lineRule="auto"/>
        <w:textAlignment w:val="baseline"/>
        <w:rPr>
          <w:rFonts w:eastAsia="Times New Roman"/>
          <w:color w:val="000000"/>
          <w:lang w:eastAsia="en-GB"/>
        </w:rPr>
      </w:pPr>
      <w:proofErr w:type="spellStart"/>
      <w:r>
        <w:rPr>
          <w:rFonts w:eastAsia="Times New Roman"/>
          <w:color w:val="000000"/>
          <w:lang w:eastAsia="en-GB"/>
        </w:rPr>
        <w:t>Opex</w:t>
      </w:r>
      <w:proofErr w:type="spellEnd"/>
      <w:r>
        <w:rPr>
          <w:rFonts w:eastAsia="Times New Roman"/>
          <w:color w:val="000000"/>
          <w:lang w:eastAsia="en-GB"/>
        </w:rPr>
        <w:t>: €60k analysis in 2020</w:t>
      </w:r>
    </w:p>
    <w:p w14:paraId="32858C7F" w14:textId="0E4D8732" w:rsidR="00AE268B" w:rsidRPr="00724405" w:rsidRDefault="00CA2A82" w:rsidP="00AE268B">
      <w:pPr>
        <w:spacing w:line="256" w:lineRule="auto"/>
        <w:rPr>
          <w:rFonts w:eastAsia="Times New Roman"/>
          <w:color w:val="000000"/>
          <w:lang w:eastAsia="en-GB"/>
        </w:rPr>
      </w:pPr>
      <w:r w:rsidRPr="00BB1525">
        <w:rPr>
          <w:noProof/>
          <w:lang w:eastAsia="en-GB"/>
        </w:rPr>
        <mc:AlternateContent>
          <mc:Choice Requires="wps">
            <w:drawing>
              <wp:anchor distT="45720" distB="45720" distL="114300" distR="114300" simplePos="0" relativeHeight="251711488" behindDoc="1" locked="0" layoutInCell="1" allowOverlap="1" wp14:anchorId="2C5F31E0" wp14:editId="42FF841B">
                <wp:simplePos x="0" y="0"/>
                <wp:positionH relativeFrom="margin">
                  <wp:align>right</wp:align>
                </wp:positionH>
                <wp:positionV relativeFrom="paragraph">
                  <wp:posOffset>458995</wp:posOffset>
                </wp:positionV>
                <wp:extent cx="5716905" cy="1404620"/>
                <wp:effectExtent l="0" t="0" r="17145" b="21590"/>
                <wp:wrapTight wrapText="bothSides">
                  <wp:wrapPolygon edited="0">
                    <wp:start x="0" y="0"/>
                    <wp:lineTo x="0" y="21676"/>
                    <wp:lineTo x="21593" y="21676"/>
                    <wp:lineTo x="21593"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2A0AF90" w14:textId="6C543EFD" w:rsidR="00D52BA4" w:rsidRDefault="00D52BA4" w:rsidP="009A5049">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to perform the business and technical analysis</w:t>
                            </w:r>
                            <w:r>
                              <w:rPr>
                                <w:rStyle w:val="eop"/>
                                <w:rFonts w:ascii="Calibri" w:eastAsiaTheme="majorEastAsia" w:hAnsi="Calibri" w:cs="Calibri"/>
                                <w:sz w:val="22"/>
                                <w:szCs w:val="22"/>
                              </w:rPr>
                              <w:t xml:space="preserve"> on the mapping of index names to underlying identifiers?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5F31E0" id="Text Box 34" o:spid="_x0000_s1054" type="#_x0000_t202" style="position:absolute;margin-left:398.95pt;margin-top:36.15pt;width:450.15pt;height:110.6pt;z-index:-251604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">
                <v:textbox style="mso-fit-shape-to-text:t">
                  <w:txbxContent>
                    <w:p w14:paraId="62A0AF90" w14:textId="6C543EFD" w:rsidR="00D52BA4" w:rsidRDefault="00D52BA4" w:rsidP="009A5049">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to perform the business and technical analysis</w:t>
                      </w:r>
                      <w:r>
                        <w:rPr>
                          <w:rStyle w:val="eop"/>
                          <w:rFonts w:ascii="Calibri" w:eastAsiaTheme="majorEastAsia" w:hAnsi="Calibri" w:cs="Calibri"/>
                          <w:sz w:val="22"/>
                          <w:szCs w:val="22"/>
                        </w:rPr>
                        <w:t xml:space="preserve"> on the mapping of index names to underlying identifiers?</w:t>
                      </w:r>
                    </w:p>
                  </w:txbxContent>
                </v:textbox>
                <w10:wrap type="tight" anchorx="margin"/>
              </v:shape>
            </w:pict>
          </mc:Fallback>
        </mc:AlternateContent>
      </w:r>
      <w:r w:rsidR="00AE268B" w:rsidRPr="00BB1525">
        <w:rPr>
          <w:rFonts w:eastAsia="Times New Roman"/>
          <w:color w:val="000000"/>
          <w:lang w:eastAsia="en-GB"/>
        </w:rPr>
        <w:t xml:space="preserve">Impact on DSB total costs: </w:t>
      </w:r>
      <w:r w:rsidR="00AE268B">
        <w:rPr>
          <w:rFonts w:eastAsia="Times New Roman"/>
          <w:color w:val="000000"/>
          <w:lang w:eastAsia="en-GB"/>
        </w:rPr>
        <w:t xml:space="preserve">€60k </w:t>
      </w:r>
      <w:r w:rsidR="00AE268B" w:rsidRPr="00BB1525">
        <w:rPr>
          <w:rFonts w:eastAsia="Times New Roman"/>
          <w:color w:val="000000"/>
          <w:lang w:eastAsia="en-GB"/>
        </w:rPr>
        <w:t>in 2020</w:t>
      </w:r>
      <w:r w:rsidR="00AE268B">
        <w:rPr>
          <w:rFonts w:eastAsia="Times New Roman"/>
          <w:color w:val="000000"/>
          <w:lang w:eastAsia="en-GB"/>
        </w:rPr>
        <w:t xml:space="preserve"> (&lt;1% increase in total costs)</w:t>
      </w:r>
      <w:r w:rsidR="00AE268B" w:rsidRPr="00BB1525">
        <w:rPr>
          <w:rFonts w:eastAsia="Times New Roman"/>
          <w:color w:val="000000"/>
          <w:lang w:eastAsia="en-GB"/>
        </w:rPr>
        <w:t xml:space="preserve">; </w:t>
      </w:r>
      <w:r w:rsidR="00AE268B">
        <w:rPr>
          <w:rFonts w:eastAsia="Times New Roman"/>
          <w:color w:val="000000"/>
          <w:lang w:eastAsia="en-GB"/>
        </w:rPr>
        <w:t xml:space="preserve">None from </w:t>
      </w:r>
      <w:r w:rsidR="00AE268B" w:rsidRPr="00BB1525">
        <w:rPr>
          <w:rFonts w:eastAsia="Times New Roman"/>
          <w:color w:val="000000"/>
          <w:lang w:eastAsia="en-GB"/>
        </w:rPr>
        <w:t>2021</w:t>
      </w:r>
      <w:r w:rsidR="00AE268B">
        <w:rPr>
          <w:rFonts w:eastAsia="Times New Roman"/>
          <w:color w:val="000000"/>
          <w:lang w:eastAsia="en-GB"/>
        </w:rPr>
        <w:t xml:space="preserve"> onwards</w:t>
      </w:r>
    </w:p>
    <w:p w14:paraId="74A2B31F" w14:textId="77777777" w:rsidR="00531708" w:rsidRDefault="00531708" w:rsidP="001966FE">
      <w:pPr>
        <w:spacing w:before="240" w:after="120" w:line="276" w:lineRule="auto"/>
      </w:pPr>
    </w:p>
    <w:p w14:paraId="5DBE2455" w14:textId="77777777" w:rsidR="00417E17" w:rsidRDefault="00417E17" w:rsidP="00417E17">
      <w:pPr>
        <w:rPr>
          <w:rFonts w:ascii="Calibri" w:eastAsia="Times New Roman" w:hAnsi="Calibri" w:cs="Calibri"/>
          <w:color w:val="000000"/>
          <w:lang w:eastAsia="en-GB"/>
        </w:rPr>
      </w:pPr>
    </w:p>
    <w:p w14:paraId="6284AFBD" w14:textId="385DEB95" w:rsidR="00417E17" w:rsidRDefault="00417E17" w:rsidP="00417E17">
      <w:pPr>
        <w:pStyle w:val="Heading3"/>
      </w:pPr>
      <w:bookmarkStart w:id="82" w:name="_Ref13073742"/>
      <w:bookmarkStart w:id="83" w:name="_Toc13087144"/>
      <w:bookmarkStart w:id="84" w:name="_Toc13157231"/>
      <w:r>
        <w:lastRenderedPageBreak/>
        <w:t xml:space="preserve">Q2.4 – </w:t>
      </w:r>
      <w:r w:rsidR="00136C99">
        <w:t xml:space="preserve">DATA </w:t>
      </w:r>
      <w:r>
        <w:t>REVIEW PROCESS</w:t>
      </w:r>
      <w:bookmarkEnd w:id="82"/>
      <w:bookmarkEnd w:id="83"/>
      <w:bookmarkEnd w:id="84"/>
    </w:p>
    <w:p w14:paraId="1756BDDB" w14:textId="7F737F43" w:rsidR="00417E17" w:rsidRDefault="00417E17" w:rsidP="00C5563B">
      <w:pPr>
        <w:spacing w:before="100" w:beforeAutospacing="1" w:after="0" w:line="276" w:lineRule="auto"/>
        <w:textAlignment w:val="baseline"/>
        <w:rPr>
          <w:u w:val="single"/>
        </w:rPr>
      </w:pPr>
      <w:r>
        <w:rPr>
          <w:noProof/>
          <w:lang w:eastAsia="en-GB"/>
        </w:rPr>
        <mc:AlternateContent>
          <mc:Choice Requires="wps">
            <w:drawing>
              <wp:anchor distT="45720" distB="45720" distL="114300" distR="114300" simplePos="0" relativeHeight="251718656" behindDoc="0" locked="0" layoutInCell="1" allowOverlap="1" wp14:anchorId="1E6C14B7" wp14:editId="5F7BD9DF">
                <wp:simplePos x="0" y="0"/>
                <wp:positionH relativeFrom="margin">
                  <wp:posOffset>0</wp:posOffset>
                </wp:positionH>
                <wp:positionV relativeFrom="paragraph">
                  <wp:posOffset>363220</wp:posOffset>
                </wp:positionV>
                <wp:extent cx="5716905" cy="1404620"/>
                <wp:effectExtent l="0" t="0" r="17145" b="2476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151A716" w14:textId="002FD8BB" w:rsidR="00D52BA4" w:rsidRDefault="00D52BA4" w:rsidP="00417E17">
                            <w:r>
                              <w:rPr>
                                <w:rStyle w:val="normaltextrun"/>
                                <w:rFonts w:ascii="Calibri" w:hAnsi="Calibri" w:cs="Calibri"/>
                                <w:b/>
                                <w:bCs/>
                                <w:color w:val="000000"/>
                              </w:rPr>
                              <w:t xml:space="preserve">CP1 Question: </w:t>
                            </w:r>
                            <w:r w:rsidRPr="00417E17">
                              <w:rPr>
                                <w:rStyle w:val="normaltextrun"/>
                                <w:rFonts w:ascii="Calibri" w:hAnsi="Calibri" w:cs="Calibri"/>
                                <w:bCs/>
                                <w:color w:val="000000"/>
                              </w:rPr>
                              <w:t>Do you wish the DSB to prioritize particular aspects of the review process? If yes, please provide specific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6C14B7" id="_x0000_s1055" type="#_x0000_t202" style="position:absolute;margin-left:0;margin-top:28.6pt;width:450.1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XOKQIAAE4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">
                <v:textbox style="mso-fit-shape-to-text:t">
                  <w:txbxContent>
                    <w:p w14:paraId="3151A716" w14:textId="002FD8BB" w:rsidR="00D52BA4" w:rsidRDefault="00D52BA4" w:rsidP="00417E17">
                      <w:r>
                        <w:rPr>
                          <w:rStyle w:val="normaltextrun"/>
                          <w:rFonts w:ascii="Calibri" w:hAnsi="Calibri" w:cs="Calibri"/>
                          <w:b/>
                          <w:bCs/>
                          <w:color w:val="000000"/>
                        </w:rPr>
                        <w:t xml:space="preserve">CP1 Question: </w:t>
                      </w:r>
                      <w:r w:rsidRPr="00417E17">
                        <w:rPr>
                          <w:rStyle w:val="normaltextrun"/>
                          <w:rFonts w:ascii="Calibri" w:hAnsi="Calibri" w:cs="Calibri"/>
                          <w:bCs/>
                          <w:color w:val="000000"/>
                        </w:rPr>
                        <w:t xml:space="preserve">Do you wish the DSB to prioritize </w:t>
                      </w:r>
                      <w:proofErr w:type="gramStart"/>
                      <w:r w:rsidRPr="00417E17">
                        <w:rPr>
                          <w:rStyle w:val="normaltextrun"/>
                          <w:rFonts w:ascii="Calibri" w:hAnsi="Calibri" w:cs="Calibri"/>
                          <w:bCs/>
                          <w:color w:val="000000"/>
                        </w:rPr>
                        <w:t>particular aspects</w:t>
                      </w:r>
                      <w:proofErr w:type="gramEnd"/>
                      <w:r w:rsidRPr="00417E17">
                        <w:rPr>
                          <w:rStyle w:val="normaltextrun"/>
                          <w:rFonts w:ascii="Calibri" w:hAnsi="Calibri" w:cs="Calibri"/>
                          <w:bCs/>
                          <w:color w:val="000000"/>
                        </w:rPr>
                        <w:t xml:space="preserve"> of the review process? If yes, please provide specific examples</w:t>
                      </w:r>
                    </w:p>
                  </w:txbxContent>
                </v:textbox>
                <w10:wrap type="square" anchorx="margin"/>
              </v:shape>
            </w:pict>
          </mc:Fallback>
        </mc:AlternateContent>
      </w:r>
      <w:r>
        <w:rPr>
          <w:u w:val="single"/>
        </w:rPr>
        <w:t>Industry Responses</w:t>
      </w:r>
    </w:p>
    <w:p w14:paraId="451E993C" w14:textId="0E7670DA" w:rsidR="00417E17" w:rsidRPr="00BB1C2A" w:rsidRDefault="00417E17" w:rsidP="00417E17">
      <w:pPr>
        <w:spacing w:before="60" w:after="240" w:line="276" w:lineRule="auto"/>
      </w:pPr>
      <w:r>
        <w:t xml:space="preserve">The responses received to the question posed in the first consultation are set out below. </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417E17" w:rsidRPr="00AF26B0" w14:paraId="15FF9BC4" w14:textId="77777777" w:rsidTr="00DA22E9">
        <w:trPr>
          <w:trHeight w:val="288"/>
        </w:trPr>
        <w:tc>
          <w:tcPr>
            <w:tcW w:w="2127" w:type="dxa"/>
            <w:vMerge w:val="restart"/>
            <w:shd w:val="clear" w:color="auto" w:fill="auto"/>
            <w:noWrap/>
            <w:vAlign w:val="center"/>
            <w:hideMark/>
          </w:tcPr>
          <w:p w14:paraId="41E970C2" w14:textId="77777777" w:rsidR="00417E17" w:rsidRPr="00AF26B0" w:rsidRDefault="00417E17" w:rsidP="00417E17">
            <w:pPr>
              <w:spacing w:after="0" w:line="276"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339793C6" w14:textId="77777777" w:rsidR="00417E17" w:rsidRPr="00AF26B0" w:rsidRDefault="00417E17" w:rsidP="00417E17">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590CEFD7" w14:textId="77777777" w:rsidR="00417E17" w:rsidRPr="00AF26B0" w:rsidRDefault="00417E17" w:rsidP="00417E17">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No</w:t>
            </w:r>
          </w:p>
        </w:tc>
      </w:tr>
      <w:tr w:rsidR="00417E17" w:rsidRPr="00AF26B0" w14:paraId="79D3F6C4" w14:textId="77777777" w:rsidTr="00DA22E9">
        <w:trPr>
          <w:trHeight w:val="288"/>
        </w:trPr>
        <w:tc>
          <w:tcPr>
            <w:tcW w:w="2127" w:type="dxa"/>
            <w:vMerge/>
            <w:vAlign w:val="center"/>
            <w:hideMark/>
          </w:tcPr>
          <w:p w14:paraId="0A075CBD" w14:textId="77777777" w:rsidR="00417E17" w:rsidRPr="00AF26B0" w:rsidRDefault="00417E17" w:rsidP="00417E17">
            <w:pPr>
              <w:spacing w:after="0" w:line="276" w:lineRule="auto"/>
              <w:rPr>
                <w:rFonts w:ascii="Times New Roman" w:eastAsia="Times New Roman" w:hAnsi="Times New Roman" w:cs="Times New Roman"/>
                <w:sz w:val="24"/>
                <w:szCs w:val="24"/>
                <w:lang w:eastAsia="en-GB"/>
              </w:rPr>
            </w:pPr>
          </w:p>
        </w:tc>
        <w:tc>
          <w:tcPr>
            <w:tcW w:w="289" w:type="dxa"/>
            <w:shd w:val="clear" w:color="000000" w:fill="FFEB84"/>
            <w:noWrap/>
            <w:vAlign w:val="center"/>
            <w:hideMark/>
          </w:tcPr>
          <w:p w14:paraId="577D6A6B" w14:textId="77777777" w:rsidR="00417E17" w:rsidRPr="00AF26B0" w:rsidRDefault="00417E17" w:rsidP="00417E17">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4</w:t>
            </w:r>
          </w:p>
        </w:tc>
        <w:tc>
          <w:tcPr>
            <w:tcW w:w="656" w:type="dxa"/>
            <w:shd w:val="clear" w:color="000000" w:fill="FFEB84"/>
            <w:noWrap/>
            <w:vAlign w:val="center"/>
            <w:hideMark/>
          </w:tcPr>
          <w:p w14:paraId="016867B6" w14:textId="77777777" w:rsidR="00417E17" w:rsidRPr="00AF26B0" w:rsidRDefault="00417E17" w:rsidP="00417E17">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4</w:t>
            </w:r>
          </w:p>
        </w:tc>
      </w:tr>
      <w:tr w:rsidR="00417E17" w:rsidRPr="00AF26B0" w14:paraId="2ADF88E0" w14:textId="77777777" w:rsidTr="00DA22E9">
        <w:trPr>
          <w:trHeight w:val="288"/>
        </w:trPr>
        <w:tc>
          <w:tcPr>
            <w:tcW w:w="2127" w:type="dxa"/>
            <w:shd w:val="clear" w:color="auto" w:fill="auto"/>
            <w:noWrap/>
            <w:vAlign w:val="center"/>
            <w:hideMark/>
          </w:tcPr>
          <w:p w14:paraId="53AEA43B" w14:textId="77777777" w:rsidR="00417E17" w:rsidRPr="00AF26B0" w:rsidRDefault="00417E17" w:rsidP="00417E17">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6DDF3BFB" w14:textId="77777777" w:rsidR="00417E17" w:rsidRPr="008F0DEB" w:rsidRDefault="00417E17" w:rsidP="00417E17">
            <w:pPr>
              <w:spacing w:after="0" w:line="276" w:lineRule="auto"/>
              <w:jc w:val="center"/>
              <w:rPr>
                <w:rFonts w:ascii="Calibri" w:eastAsia="Times New Roman" w:hAnsi="Calibri" w:cs="Calibri"/>
                <w:color w:val="FFFFFF" w:themeColor="background1"/>
                <w:sz w:val="21"/>
                <w:szCs w:val="21"/>
                <w:lang w:eastAsia="en-GB"/>
              </w:rPr>
            </w:pPr>
            <w:r w:rsidRPr="008F0DEB">
              <w:rPr>
                <w:rFonts w:ascii="Calibri" w:eastAsia="Times New Roman" w:hAnsi="Calibri" w:cs="Calibri"/>
                <w:color w:val="FFFFFF" w:themeColor="background1"/>
                <w:sz w:val="21"/>
                <w:szCs w:val="21"/>
                <w:lang w:eastAsia="en-GB"/>
              </w:rPr>
              <w:t>0</w:t>
            </w:r>
          </w:p>
        </w:tc>
        <w:tc>
          <w:tcPr>
            <w:tcW w:w="656" w:type="dxa"/>
            <w:shd w:val="clear" w:color="auto" w:fill="auto"/>
            <w:noWrap/>
            <w:vAlign w:val="center"/>
            <w:hideMark/>
          </w:tcPr>
          <w:p w14:paraId="280CF024" w14:textId="77777777" w:rsidR="00417E17" w:rsidRPr="008F0DEB" w:rsidRDefault="00417E17" w:rsidP="00417E17">
            <w:pPr>
              <w:spacing w:after="0" w:line="276" w:lineRule="auto"/>
              <w:jc w:val="center"/>
              <w:rPr>
                <w:rFonts w:ascii="Calibri" w:eastAsia="Times New Roman" w:hAnsi="Calibri" w:cs="Calibri"/>
                <w:color w:val="FFFFFF" w:themeColor="background1"/>
                <w:sz w:val="21"/>
                <w:szCs w:val="21"/>
                <w:lang w:eastAsia="en-GB"/>
              </w:rPr>
            </w:pPr>
            <w:r w:rsidRPr="008F0DEB">
              <w:rPr>
                <w:rFonts w:ascii="Calibri" w:eastAsia="Times New Roman" w:hAnsi="Calibri" w:cs="Calibri"/>
                <w:color w:val="FFFFFF" w:themeColor="background1"/>
                <w:sz w:val="21"/>
                <w:szCs w:val="21"/>
                <w:lang w:eastAsia="en-GB"/>
              </w:rPr>
              <w:t>0</w:t>
            </w:r>
          </w:p>
        </w:tc>
      </w:tr>
      <w:tr w:rsidR="00417E17" w:rsidRPr="00AF26B0" w14:paraId="3B62D562" w14:textId="77777777" w:rsidTr="00DA22E9">
        <w:trPr>
          <w:trHeight w:val="288"/>
        </w:trPr>
        <w:tc>
          <w:tcPr>
            <w:tcW w:w="2127" w:type="dxa"/>
            <w:shd w:val="clear" w:color="auto" w:fill="auto"/>
            <w:noWrap/>
            <w:vAlign w:val="center"/>
            <w:hideMark/>
          </w:tcPr>
          <w:p w14:paraId="5C92B6D1" w14:textId="77777777" w:rsidR="00417E17" w:rsidRPr="00AF26B0" w:rsidRDefault="00417E17" w:rsidP="00417E17">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037C47AC" w14:textId="77777777" w:rsidR="00417E17" w:rsidRPr="00AF26B0" w:rsidRDefault="00417E17" w:rsidP="00417E17">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4</w:t>
            </w:r>
          </w:p>
        </w:tc>
        <w:tc>
          <w:tcPr>
            <w:tcW w:w="656" w:type="dxa"/>
            <w:shd w:val="clear" w:color="auto" w:fill="auto"/>
            <w:noWrap/>
            <w:vAlign w:val="center"/>
            <w:hideMark/>
          </w:tcPr>
          <w:p w14:paraId="51D6397F" w14:textId="77777777" w:rsidR="00417E17" w:rsidRPr="00AF26B0" w:rsidRDefault="00417E17" w:rsidP="00417E17">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4</w:t>
            </w:r>
          </w:p>
        </w:tc>
      </w:tr>
    </w:tbl>
    <w:p w14:paraId="142C582C" w14:textId="043F5F56" w:rsidR="00417E17" w:rsidRDefault="00417E17" w:rsidP="00417E17">
      <w:pPr>
        <w:spacing w:before="60" w:after="120" w:line="276" w:lineRule="auto"/>
        <w:rPr>
          <w:b/>
          <w:bCs/>
          <w:u w:val="single"/>
        </w:rPr>
      </w:pPr>
    </w:p>
    <w:p w14:paraId="41AA81D9" w14:textId="4C53C377" w:rsidR="00417E17" w:rsidRDefault="00417E17" w:rsidP="00417E17">
      <w:pPr>
        <w:spacing w:before="240" w:line="276" w:lineRule="auto"/>
      </w:pPr>
      <w:r>
        <w:t xml:space="preserve">Out of the 8 respondents, </w:t>
      </w:r>
      <w:r w:rsidR="00136C99">
        <w:t xml:space="preserve">opinion was evenly split on whether </w:t>
      </w:r>
      <w:r>
        <w:t xml:space="preserve">they wished any data review process to commence. </w:t>
      </w:r>
    </w:p>
    <w:p w14:paraId="45444855" w14:textId="77777777" w:rsidR="00417E17" w:rsidRDefault="00417E17" w:rsidP="00417E17">
      <w:pPr>
        <w:spacing w:line="276" w:lineRule="auto"/>
      </w:pPr>
      <w:r>
        <w:t xml:space="preserve">Areas where respondents wished the DSB to focus its data review efforts included: </w:t>
      </w:r>
    </w:p>
    <w:p w14:paraId="6797D14C" w14:textId="77777777" w:rsidR="00417E17" w:rsidRDefault="00417E17" w:rsidP="00417E17">
      <w:pPr>
        <w:pStyle w:val="ListParagraph"/>
        <w:numPr>
          <w:ilvl w:val="0"/>
          <w:numId w:val="5"/>
        </w:numPr>
        <w:spacing w:before="60" w:after="60" w:line="276" w:lineRule="auto"/>
      </w:pPr>
      <w:r>
        <w:t xml:space="preserve">Add a tag to </w:t>
      </w:r>
      <w:r w:rsidRPr="00925CCB">
        <w:t xml:space="preserve">show which </w:t>
      </w:r>
      <w:r>
        <w:t xml:space="preserve">OTC </w:t>
      </w:r>
      <w:r w:rsidRPr="00925CCB">
        <w:t>interest rate derivatives are forward starting</w:t>
      </w:r>
      <w:r>
        <w:t xml:space="preserve">, once the </w:t>
      </w:r>
      <w:hyperlink r:id="rId24" w:history="1">
        <w:r w:rsidRPr="00A2216E">
          <w:rPr>
            <w:rStyle w:val="Hyperlink"/>
          </w:rPr>
          <w:t>DSB’s enhancements to RTS-23.Field41</w:t>
        </w:r>
      </w:hyperlink>
      <w:r w:rsidRPr="00925CCB">
        <w:t xml:space="preserve"> </w:t>
      </w:r>
      <w:r>
        <w:t>have been implemented</w:t>
      </w:r>
    </w:p>
    <w:p w14:paraId="46454A71" w14:textId="77777777" w:rsidR="00417E17" w:rsidRDefault="00417E17" w:rsidP="00417E17">
      <w:pPr>
        <w:pStyle w:val="ListParagraph"/>
        <w:numPr>
          <w:ilvl w:val="0"/>
          <w:numId w:val="5"/>
        </w:numPr>
        <w:spacing w:before="60" w:after="60" w:line="276" w:lineRule="auto"/>
      </w:pPr>
      <w:r>
        <w:t xml:space="preserve">Increase efforts to review data quality input by users, in particular, their use of the delivery type and IR term of contract attributes </w:t>
      </w:r>
    </w:p>
    <w:p w14:paraId="6B45B83A" w14:textId="77777777" w:rsidR="00417E17" w:rsidRDefault="00417E17" w:rsidP="00417E17">
      <w:pPr>
        <w:pStyle w:val="ListParagraph"/>
        <w:numPr>
          <w:ilvl w:val="0"/>
          <w:numId w:val="5"/>
        </w:numPr>
        <w:spacing w:before="60" w:after="60" w:line="276" w:lineRule="auto"/>
      </w:pPr>
      <w:r>
        <w:t xml:space="preserve">Provide guidance on the use of reference rate term unit and common normalization methodologies </w:t>
      </w:r>
    </w:p>
    <w:p w14:paraId="75BE2604" w14:textId="7FBFA3D2" w:rsidR="00417E17" w:rsidRDefault="00417E17" w:rsidP="00C5563B">
      <w:pPr>
        <w:spacing w:before="240"/>
        <w:rPr>
          <w:u w:val="single"/>
        </w:rPr>
      </w:pPr>
      <w:r>
        <w:rPr>
          <w:u w:val="single"/>
        </w:rPr>
        <w:t>Analysis of Responses</w:t>
      </w:r>
    </w:p>
    <w:p w14:paraId="75FCBB7A" w14:textId="5E249A66" w:rsidR="00136C99" w:rsidRPr="00136C99" w:rsidRDefault="00136C99" w:rsidP="00417E17">
      <w:r w:rsidRPr="00136C99">
        <w:t xml:space="preserve">Given the </w:t>
      </w:r>
      <w:r>
        <w:t>mixed responses, the DSB believes this issue is not urgent although some of the specific examples cited are useful input for the PC to consider as part of any review of data quality.</w:t>
      </w:r>
    </w:p>
    <w:p w14:paraId="1AC54EC8" w14:textId="2F3B6E95" w:rsidR="00417E17" w:rsidRDefault="00417E17" w:rsidP="00C5563B">
      <w:pPr>
        <w:spacing w:before="240"/>
        <w:rPr>
          <w:u w:val="single"/>
        </w:rPr>
      </w:pPr>
      <w:r>
        <w:rPr>
          <w:u w:val="single"/>
        </w:rPr>
        <w:t>DSB Proposed Next Steps</w:t>
      </w:r>
    </w:p>
    <w:p w14:paraId="12092756" w14:textId="36EED835" w:rsidR="00136C99" w:rsidRDefault="00136C99" w:rsidP="00136C99">
      <w:pPr>
        <w:spacing w:before="60" w:after="120" w:line="276" w:lineRule="auto"/>
      </w:pPr>
      <w:r w:rsidRPr="00136C99">
        <w:rPr>
          <w:bCs/>
        </w:rPr>
        <w:t xml:space="preserve">The </w:t>
      </w:r>
      <w:r>
        <w:t xml:space="preserve">DSB proposes to work with the PC to review each of the requests for additional underlying data made above on a </w:t>
      </w:r>
      <w:r w:rsidRPr="00AD1A1F">
        <w:t xml:space="preserve">case by case </w:t>
      </w:r>
      <w:r>
        <w:t xml:space="preserve">basis as part of its business as usual (subject to PC prioritization) and provide updates to the user community in due course. </w:t>
      </w:r>
    </w:p>
    <w:p w14:paraId="68730915" w14:textId="03E94B7D" w:rsidR="00AA462B" w:rsidRDefault="000602B1" w:rsidP="00AA462B">
      <w:r w:rsidRPr="00BB1525">
        <w:rPr>
          <w:noProof/>
          <w:lang w:eastAsia="en-GB"/>
        </w:rPr>
        <mc:AlternateContent>
          <mc:Choice Requires="wps">
            <w:drawing>
              <wp:anchor distT="45720" distB="45720" distL="114300" distR="114300" simplePos="0" relativeHeight="251725824" behindDoc="1" locked="0" layoutInCell="1" allowOverlap="1" wp14:anchorId="0BC9E875" wp14:editId="2D622697">
                <wp:simplePos x="0" y="0"/>
                <wp:positionH relativeFrom="margin">
                  <wp:posOffset>-2540</wp:posOffset>
                </wp:positionH>
                <wp:positionV relativeFrom="paragraph">
                  <wp:posOffset>340770</wp:posOffset>
                </wp:positionV>
                <wp:extent cx="5716905" cy="1404620"/>
                <wp:effectExtent l="0" t="0" r="17145" b="27305"/>
                <wp:wrapTight wrapText="bothSides">
                  <wp:wrapPolygon edited="0">
                    <wp:start x="0" y="0"/>
                    <wp:lineTo x="0" y="21940"/>
                    <wp:lineTo x="21593" y="21940"/>
                    <wp:lineTo x="21593" y="0"/>
                    <wp:lineTo x="0" y="0"/>
                  </wp:wrapPolygon>
                </wp:wrapTight>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D152DE6" w14:textId="770162FF" w:rsidR="00D52BA4" w:rsidRDefault="00D52BA4" w:rsidP="00417E17">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15</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to work with the PC to review each of the requests for additional underlying data made above on a case by case basis as part of its business as usual</w:t>
                            </w:r>
                            <w:r>
                              <w:rPr>
                                <w:rStyle w:val="eop"/>
                                <w:rFonts w:ascii="Calibri" w:eastAsiaTheme="majorEastAsia" w:hAnsi="Calibri" w:cs="Calibri"/>
                                <w:sz w:val="22"/>
                                <w:szCs w:val="22"/>
                              </w:rPr>
                              <w:t xml:space="preserve"> operations</w:t>
                            </w:r>
                            <w:r w:rsidRPr="00136C99">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9E875" id="Text Box 36" o:spid="_x0000_s1056" type="#_x0000_t202" style="position:absolute;margin-left:-.2pt;margin-top:26.85pt;width:450.15pt;height:110.6pt;z-index:-251590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">
                <v:textbox style="mso-fit-shape-to-text:t">
                  <w:txbxContent>
                    <w:p w14:paraId="6D152DE6" w14:textId="770162FF" w:rsidR="00D52BA4" w:rsidRDefault="00D52BA4" w:rsidP="00417E17">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15</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to work with the PC to review each of the requests for additional underlying data made above on a case by case basis as part of its business as usual</w:t>
                      </w:r>
                      <w:r>
                        <w:rPr>
                          <w:rStyle w:val="eop"/>
                          <w:rFonts w:ascii="Calibri" w:eastAsiaTheme="majorEastAsia" w:hAnsi="Calibri" w:cs="Calibri"/>
                          <w:sz w:val="22"/>
                          <w:szCs w:val="22"/>
                        </w:rPr>
                        <w:t xml:space="preserve"> operations</w:t>
                      </w:r>
                      <w:r w:rsidRPr="00136C99">
                        <w:rPr>
                          <w:rStyle w:val="eop"/>
                          <w:rFonts w:ascii="Calibri" w:eastAsiaTheme="majorEastAsia" w:hAnsi="Calibri" w:cs="Calibri"/>
                          <w:sz w:val="22"/>
                          <w:szCs w:val="22"/>
                        </w:rPr>
                        <w:t>?</w:t>
                      </w:r>
                    </w:p>
                  </w:txbxContent>
                </v:textbox>
                <w10:wrap type="tight" anchorx="margin"/>
              </v:shape>
            </w:pict>
          </mc:Fallback>
        </mc:AlternateContent>
      </w:r>
    </w:p>
    <w:p w14:paraId="3F13A132" w14:textId="77777777" w:rsidR="000602B1" w:rsidRDefault="000602B1">
      <w:pPr>
        <w:rPr>
          <w:rFonts w:asciiTheme="majorHAnsi" w:eastAsiaTheme="majorEastAsia" w:hAnsiTheme="majorHAnsi" w:cstheme="majorBidi"/>
          <w:color w:val="2E74B5" w:themeColor="accent1" w:themeShade="BF"/>
          <w:sz w:val="26"/>
          <w:szCs w:val="26"/>
        </w:rPr>
      </w:pPr>
      <w:r>
        <w:br w:type="page"/>
      </w:r>
    </w:p>
    <w:p w14:paraId="20305002" w14:textId="51A19666" w:rsidR="00AA462B" w:rsidRDefault="00B73C4C" w:rsidP="00AA462B">
      <w:pPr>
        <w:pStyle w:val="Heading2"/>
        <w:spacing w:after="240"/>
      </w:pPr>
      <w:bookmarkStart w:id="85" w:name="_Toc13087145"/>
      <w:bookmarkStart w:id="86" w:name="_Toc13157232"/>
      <w:r>
        <w:lastRenderedPageBreak/>
        <w:t>SERVICE LEVELS</w:t>
      </w:r>
      <w:bookmarkEnd w:id="85"/>
      <w:bookmarkEnd w:id="86"/>
    </w:p>
    <w:p w14:paraId="787A2D59" w14:textId="49B4BB4F" w:rsidR="00AA462B" w:rsidRDefault="00AA462B" w:rsidP="00AA462B">
      <w:r>
        <w:t xml:space="preserve">The DSB consulted on </w:t>
      </w:r>
      <w:r w:rsidR="00061B9D" w:rsidRPr="00061B9D">
        <w:t xml:space="preserve">4 </w:t>
      </w:r>
      <w:r>
        <w:t xml:space="preserve">proposed enhancements to </w:t>
      </w:r>
      <w:r w:rsidR="00B73C4C">
        <w:t>service levels</w:t>
      </w:r>
      <w:r>
        <w:t>, based on user feedback received in the past 12 months. The responses are summarised below, together with the DSB’s analysis of the responses and proposed next steps.</w:t>
      </w:r>
    </w:p>
    <w:tbl>
      <w:tblPr>
        <w:tblStyle w:val="GridTable5Dark-Accent1"/>
        <w:tblW w:w="9067"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951"/>
        <w:gridCol w:w="2340"/>
        <w:gridCol w:w="1789"/>
        <w:gridCol w:w="3987"/>
      </w:tblGrid>
      <w:tr w:rsidR="00AF4866" w14:paraId="6EC30D58" w14:textId="77777777" w:rsidTr="00597165">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291" w:type="dxa"/>
            <w:gridSpan w:val="2"/>
            <w:vAlign w:val="center"/>
          </w:tcPr>
          <w:p w14:paraId="13416D70" w14:textId="61D06EAD" w:rsidR="00AF4866" w:rsidRDefault="00AF4866">
            <w:pPr>
              <w:spacing w:before="120" w:line="276" w:lineRule="auto"/>
              <w:contextualSpacing/>
            </w:pPr>
            <w:r>
              <w:t>SERVICE LEVELS</w:t>
            </w:r>
          </w:p>
        </w:tc>
        <w:tc>
          <w:tcPr>
            <w:tcW w:w="1789" w:type="dxa"/>
            <w:vAlign w:val="center"/>
          </w:tcPr>
          <w:p w14:paraId="50102EDD" w14:textId="56C06AA7" w:rsidR="00AF4866" w:rsidRPr="00815088" w:rsidRDefault="00AF4866">
            <w:pPr>
              <w:spacing w:before="120" w:line="276"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C5563B">
              <w:t>NEXT STEPS</w:t>
            </w:r>
          </w:p>
        </w:tc>
        <w:tc>
          <w:tcPr>
            <w:tcW w:w="3987" w:type="dxa"/>
            <w:vAlign w:val="center"/>
          </w:tcPr>
          <w:p w14:paraId="17E2B193" w14:textId="476DE2AC" w:rsidR="00AF4866" w:rsidRPr="00815088" w:rsidRDefault="00AF4866" w:rsidP="00C5563B">
            <w:pPr>
              <w:spacing w:before="120" w:line="276" w:lineRule="auto"/>
              <w:cnfStyle w:val="100000000000" w:firstRow="1" w:lastRow="0" w:firstColumn="0" w:lastColumn="0" w:oddVBand="0" w:evenVBand="0" w:oddHBand="0" w:evenHBand="0" w:firstRowFirstColumn="0" w:firstRowLastColumn="0" w:lastRowFirstColumn="0" w:lastRowLastColumn="0"/>
              <w:rPr>
                <w:b w:val="0"/>
              </w:rPr>
            </w:pPr>
            <w:r w:rsidRPr="00C5563B">
              <w:rPr>
                <w:rFonts w:eastAsia="Times New Roman"/>
                <w:lang w:eastAsia="en-GB"/>
              </w:rPr>
              <w:t>COST IMPACT</w:t>
            </w:r>
          </w:p>
        </w:tc>
      </w:tr>
      <w:tr w:rsidR="009502BB" w14:paraId="0AF2771A"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51" w:type="dxa"/>
            <w:vAlign w:val="center"/>
          </w:tcPr>
          <w:p w14:paraId="0ADE7799" w14:textId="58584543" w:rsidR="009502BB" w:rsidRDefault="009502BB" w:rsidP="00C5563B">
            <w:pPr>
              <w:spacing w:before="120" w:line="276" w:lineRule="auto"/>
              <w:contextualSpacing/>
            </w:pPr>
            <w:r>
              <w:fldChar w:fldCharType="begin"/>
            </w:r>
            <w:r>
              <w:instrText xml:space="preserve"> REF _Ref13077357 \r \h </w:instrText>
            </w:r>
            <w:r w:rsidR="000C1488">
              <w:instrText xml:space="preserve"> \* MERGEFORMAT </w:instrText>
            </w:r>
            <w:r>
              <w:fldChar w:fldCharType="separate"/>
            </w:r>
            <w:r>
              <w:t>5.3.1</w:t>
            </w:r>
            <w:r>
              <w:fldChar w:fldCharType="end"/>
            </w:r>
          </w:p>
        </w:tc>
        <w:tc>
          <w:tcPr>
            <w:tcW w:w="2340" w:type="dxa"/>
            <w:shd w:val="clear" w:color="auto" w:fill="DEEAF6" w:themeFill="accent1" w:themeFillTint="33"/>
            <w:vAlign w:val="center"/>
          </w:tcPr>
          <w:p w14:paraId="28F23E13" w14:textId="516E2DC3" w:rsidR="009502BB" w:rsidRPr="0055609B" w:rsidRDefault="009502BB" w:rsidP="00C5563B">
            <w:pPr>
              <w:spacing w:before="120" w:line="276" w:lineRule="auto"/>
              <w:contextualSpacing/>
              <w:cnfStyle w:val="000000100000" w:firstRow="0" w:lastRow="0" w:firstColumn="0" w:lastColumn="0" w:oddVBand="0" w:evenVBand="0" w:oddHBand="1" w:evenHBand="0" w:firstRowFirstColumn="0" w:firstRowLastColumn="0" w:lastRowFirstColumn="0" w:lastRowLastColumn="0"/>
              <w:rPr>
                <w:b/>
              </w:rPr>
            </w:pPr>
            <w:r>
              <w:t>Bulk ISIN Creation</w:t>
            </w:r>
          </w:p>
        </w:tc>
        <w:tc>
          <w:tcPr>
            <w:tcW w:w="1789" w:type="dxa"/>
            <w:shd w:val="clear" w:color="auto" w:fill="DEEAF6" w:themeFill="accent1" w:themeFillTint="33"/>
            <w:vAlign w:val="center"/>
          </w:tcPr>
          <w:p w14:paraId="70441B5E" w14:textId="1056C2D8" w:rsidR="009502BB" w:rsidRDefault="009502BB" w:rsidP="00C5563B">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t>None</w:t>
            </w:r>
          </w:p>
        </w:tc>
        <w:tc>
          <w:tcPr>
            <w:tcW w:w="3987" w:type="dxa"/>
            <w:shd w:val="clear" w:color="auto" w:fill="DEEAF6" w:themeFill="accent1" w:themeFillTint="33"/>
            <w:vAlign w:val="center"/>
          </w:tcPr>
          <w:p w14:paraId="7FDAE0E4" w14:textId="44B018B7" w:rsidR="009502BB" w:rsidRPr="00F25D27" w:rsidRDefault="009502BB" w:rsidP="00C5563B">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2020</w:t>
            </w:r>
            <w:r w:rsidR="005B1723">
              <w:rPr>
                <w:rFonts w:eastAsia="Times New Roman"/>
                <w:color w:val="000000"/>
                <w:lang w:eastAsia="en-GB"/>
              </w:rPr>
              <w:t>-</w:t>
            </w:r>
            <w:r w:rsidRPr="00F25D27">
              <w:rPr>
                <w:rFonts w:eastAsia="Times New Roman"/>
                <w:color w:val="000000"/>
                <w:lang w:eastAsia="en-GB"/>
              </w:rPr>
              <w:t xml:space="preserve">: </w:t>
            </w:r>
            <w:r w:rsidRPr="00F25D27">
              <w:rPr>
                <w:rFonts w:eastAsia="Times New Roman"/>
                <w:color w:val="000000"/>
                <w:lang w:eastAsia="en-GB"/>
              </w:rPr>
              <w:tab/>
              <w:t>None</w:t>
            </w:r>
          </w:p>
        </w:tc>
      </w:tr>
      <w:tr w:rsidR="009502BB" w14:paraId="6B749047"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951" w:type="dxa"/>
            <w:vAlign w:val="center"/>
          </w:tcPr>
          <w:p w14:paraId="37E2FD6C" w14:textId="07A4D778" w:rsidR="009502BB" w:rsidRPr="00F25D27" w:rsidRDefault="009502BB" w:rsidP="00C5563B">
            <w:pPr>
              <w:spacing w:before="120" w:line="276" w:lineRule="auto"/>
              <w:contextualSpacing/>
            </w:pPr>
            <w:r>
              <w:fldChar w:fldCharType="begin"/>
            </w:r>
            <w:r>
              <w:instrText xml:space="preserve"> REF _Ref13077365 \r \h </w:instrText>
            </w:r>
            <w:r w:rsidR="000C1488">
              <w:instrText xml:space="preserve"> \* MERGEFORMAT </w:instrText>
            </w:r>
            <w:r>
              <w:fldChar w:fldCharType="separate"/>
            </w:r>
            <w:r>
              <w:t>5.3.2</w:t>
            </w:r>
            <w:r>
              <w:fldChar w:fldCharType="end"/>
            </w:r>
          </w:p>
        </w:tc>
        <w:tc>
          <w:tcPr>
            <w:tcW w:w="2340" w:type="dxa"/>
            <w:shd w:val="clear" w:color="auto" w:fill="auto"/>
            <w:vAlign w:val="center"/>
          </w:tcPr>
          <w:p w14:paraId="12CFE60F" w14:textId="4575163D" w:rsidR="009502BB" w:rsidRPr="00F25D27" w:rsidRDefault="009502BB" w:rsidP="00C5563B">
            <w:pPr>
              <w:spacing w:before="120" w:line="276" w:lineRule="auto"/>
              <w:contextualSpacing/>
              <w:cnfStyle w:val="000000000000" w:firstRow="0" w:lastRow="0" w:firstColumn="0" w:lastColumn="0" w:oddVBand="0" w:evenVBand="0" w:oddHBand="0" w:evenHBand="0" w:firstRowFirstColumn="0" w:firstRowLastColumn="0" w:lastRowFirstColumn="0" w:lastRowLastColumn="0"/>
              <w:rPr>
                <w:b/>
              </w:rPr>
            </w:pPr>
            <w:r w:rsidRPr="00F25D27">
              <w:t>S</w:t>
            </w:r>
            <w:r>
              <w:t>earchable</w:t>
            </w:r>
            <w:r w:rsidRPr="00F25D27">
              <w:t xml:space="preserve"> O</w:t>
            </w:r>
            <w:r>
              <w:t>n</w:t>
            </w:r>
            <w:r w:rsidRPr="00F25D27">
              <w:t>-L</w:t>
            </w:r>
            <w:r>
              <w:t>ine</w:t>
            </w:r>
            <w:r w:rsidRPr="00F25D27">
              <w:t xml:space="preserve"> U</w:t>
            </w:r>
            <w:r>
              <w:t>tility</w:t>
            </w:r>
          </w:p>
        </w:tc>
        <w:tc>
          <w:tcPr>
            <w:tcW w:w="1789" w:type="dxa"/>
            <w:shd w:val="clear" w:color="auto" w:fill="auto"/>
            <w:vAlign w:val="center"/>
          </w:tcPr>
          <w:p w14:paraId="4CB9771C" w14:textId="7839F96D" w:rsidR="009502BB" w:rsidRDefault="009502BB" w:rsidP="00C5563B">
            <w:pPr>
              <w:spacing w:before="120" w:line="276" w:lineRule="auto"/>
              <w:contextualSpacing/>
              <w:jc w:val="center"/>
              <w:cnfStyle w:val="000000000000" w:firstRow="0" w:lastRow="0" w:firstColumn="0" w:lastColumn="0" w:oddVBand="0" w:evenVBand="0" w:oddHBand="0" w:evenHBand="0" w:firstRowFirstColumn="0" w:firstRowLastColumn="0" w:lastRowFirstColumn="0" w:lastRowLastColumn="0"/>
            </w:pPr>
            <w:r>
              <w:t>Further Consultation</w:t>
            </w:r>
          </w:p>
        </w:tc>
        <w:tc>
          <w:tcPr>
            <w:tcW w:w="3987" w:type="dxa"/>
            <w:shd w:val="clear" w:color="auto" w:fill="auto"/>
            <w:vAlign w:val="center"/>
          </w:tcPr>
          <w:p w14:paraId="021B46B7" w14:textId="32B0F4A8" w:rsidR="009502BB" w:rsidRPr="00FB012C" w:rsidRDefault="009502BB" w:rsidP="00C5563B">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2020</w:t>
            </w:r>
            <w:r w:rsidR="005B1723">
              <w:rPr>
                <w:rFonts w:eastAsia="Times New Roman"/>
                <w:color w:val="000000"/>
                <w:lang w:eastAsia="en-GB"/>
              </w:rPr>
              <w:t>-</w:t>
            </w:r>
            <w:r w:rsidRPr="00F25D27">
              <w:rPr>
                <w:rFonts w:eastAsia="Times New Roman"/>
                <w:color w:val="000000"/>
                <w:lang w:eastAsia="en-GB"/>
              </w:rPr>
              <w:t xml:space="preserve">: </w:t>
            </w:r>
            <w:r w:rsidRPr="00F25D27">
              <w:rPr>
                <w:rFonts w:eastAsia="Times New Roman"/>
                <w:color w:val="000000"/>
                <w:lang w:eastAsia="en-GB"/>
              </w:rPr>
              <w:tab/>
              <w:t>None</w:t>
            </w:r>
          </w:p>
        </w:tc>
      </w:tr>
      <w:tr w:rsidR="009502BB" w14:paraId="7CA7B775"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51" w:type="dxa"/>
            <w:vAlign w:val="center"/>
          </w:tcPr>
          <w:p w14:paraId="11F806C9" w14:textId="4D66134D" w:rsidR="009502BB" w:rsidRPr="00F25D27" w:rsidRDefault="009502BB" w:rsidP="00C5563B">
            <w:pPr>
              <w:spacing w:before="120" w:line="276" w:lineRule="auto"/>
              <w:contextualSpacing/>
            </w:pPr>
            <w:r>
              <w:fldChar w:fldCharType="begin"/>
            </w:r>
            <w:r>
              <w:instrText xml:space="preserve"> REF _Ref13077371 \r \h </w:instrText>
            </w:r>
            <w:r w:rsidR="000C1488">
              <w:instrText xml:space="preserve"> \* MERGEFORMAT </w:instrText>
            </w:r>
            <w:r>
              <w:fldChar w:fldCharType="separate"/>
            </w:r>
            <w:r>
              <w:t>5.3.3</w:t>
            </w:r>
            <w:r>
              <w:fldChar w:fldCharType="end"/>
            </w:r>
          </w:p>
        </w:tc>
        <w:tc>
          <w:tcPr>
            <w:tcW w:w="2340" w:type="dxa"/>
            <w:shd w:val="clear" w:color="auto" w:fill="DEEAF6" w:themeFill="accent1" w:themeFillTint="33"/>
            <w:vAlign w:val="center"/>
          </w:tcPr>
          <w:p w14:paraId="71CFDDAB" w14:textId="35261B74" w:rsidR="009502BB" w:rsidRPr="00F25D27" w:rsidRDefault="009502BB" w:rsidP="00C5563B">
            <w:pPr>
              <w:spacing w:before="120" w:line="276" w:lineRule="auto"/>
              <w:contextualSpacing/>
              <w:cnfStyle w:val="000000100000" w:firstRow="0" w:lastRow="0" w:firstColumn="0" w:lastColumn="0" w:oddVBand="0" w:evenVBand="0" w:oddHBand="1" w:evenHBand="0" w:firstRowFirstColumn="0" w:firstRowLastColumn="0" w:lastRowFirstColumn="0" w:lastRowLastColumn="0"/>
              <w:rPr>
                <w:b/>
              </w:rPr>
            </w:pPr>
            <w:r w:rsidRPr="00F25D27">
              <w:t>P</w:t>
            </w:r>
            <w:r>
              <w:t>hone-Based</w:t>
            </w:r>
            <w:r w:rsidRPr="00F25D27">
              <w:t xml:space="preserve"> S</w:t>
            </w:r>
            <w:r>
              <w:t>upport</w:t>
            </w:r>
          </w:p>
        </w:tc>
        <w:tc>
          <w:tcPr>
            <w:tcW w:w="1789" w:type="dxa"/>
            <w:shd w:val="clear" w:color="auto" w:fill="DEEAF6" w:themeFill="accent1" w:themeFillTint="33"/>
            <w:vAlign w:val="center"/>
          </w:tcPr>
          <w:p w14:paraId="4E77CCDA" w14:textId="527BE88F" w:rsidR="009502BB" w:rsidRDefault="009502BB" w:rsidP="00C5563B">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t>None</w:t>
            </w:r>
          </w:p>
        </w:tc>
        <w:tc>
          <w:tcPr>
            <w:tcW w:w="3987" w:type="dxa"/>
            <w:shd w:val="clear" w:color="auto" w:fill="DEEAF6" w:themeFill="accent1" w:themeFillTint="33"/>
            <w:vAlign w:val="center"/>
          </w:tcPr>
          <w:p w14:paraId="64FA980A" w14:textId="49A69225" w:rsidR="009502BB" w:rsidRPr="00FB012C" w:rsidRDefault="009502BB" w:rsidP="00C5563B">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pPr>
            <w:r w:rsidRPr="00F25D27">
              <w:rPr>
                <w:rFonts w:eastAsia="Times New Roman"/>
                <w:color w:val="000000"/>
                <w:lang w:eastAsia="en-GB"/>
              </w:rPr>
              <w:t>2020</w:t>
            </w:r>
            <w:r w:rsidR="005B1723">
              <w:rPr>
                <w:rFonts w:eastAsia="Times New Roman"/>
                <w:color w:val="000000"/>
                <w:lang w:eastAsia="en-GB"/>
              </w:rPr>
              <w:t>-</w:t>
            </w:r>
            <w:r w:rsidRPr="00F25D27">
              <w:rPr>
                <w:rFonts w:eastAsia="Times New Roman"/>
                <w:color w:val="000000"/>
                <w:lang w:eastAsia="en-GB"/>
              </w:rPr>
              <w:t xml:space="preserve">: </w:t>
            </w:r>
            <w:r w:rsidRPr="00F25D27">
              <w:rPr>
                <w:rFonts w:eastAsia="Times New Roman"/>
                <w:color w:val="000000"/>
                <w:lang w:eastAsia="en-GB"/>
              </w:rPr>
              <w:tab/>
              <w:t>None</w:t>
            </w:r>
          </w:p>
        </w:tc>
      </w:tr>
      <w:tr w:rsidR="009502BB" w14:paraId="231AB375"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951" w:type="dxa"/>
            <w:tcBorders>
              <w:bottom w:val="single" w:sz="4" w:space="0" w:color="BDD6EE" w:themeColor="accent1" w:themeTint="66"/>
            </w:tcBorders>
            <w:vAlign w:val="center"/>
          </w:tcPr>
          <w:p w14:paraId="09F405D4" w14:textId="59EACCB1" w:rsidR="009502BB" w:rsidRPr="00F25D27" w:rsidRDefault="009502BB" w:rsidP="00C5563B">
            <w:pPr>
              <w:spacing w:before="120" w:line="276" w:lineRule="auto"/>
              <w:contextualSpacing/>
            </w:pPr>
            <w:r>
              <w:fldChar w:fldCharType="begin"/>
            </w:r>
            <w:r>
              <w:instrText xml:space="preserve"> REF _Ref13077377 \r \h </w:instrText>
            </w:r>
            <w:r w:rsidR="000C1488">
              <w:instrText xml:space="preserve"> \* MERGEFORMAT </w:instrText>
            </w:r>
            <w:r>
              <w:fldChar w:fldCharType="separate"/>
            </w:r>
            <w:r>
              <w:t>5.3.4</w:t>
            </w:r>
            <w:r>
              <w:fldChar w:fldCharType="end"/>
            </w:r>
          </w:p>
        </w:tc>
        <w:tc>
          <w:tcPr>
            <w:tcW w:w="2340" w:type="dxa"/>
            <w:tcBorders>
              <w:bottom w:val="single" w:sz="4" w:space="0" w:color="BDD6EE" w:themeColor="accent1" w:themeTint="66"/>
            </w:tcBorders>
            <w:shd w:val="clear" w:color="auto" w:fill="auto"/>
            <w:vAlign w:val="center"/>
          </w:tcPr>
          <w:p w14:paraId="4935FF0F" w14:textId="5F63BCB3" w:rsidR="00A8063F" w:rsidRPr="004326DA" w:rsidRDefault="009502BB" w:rsidP="00C5563B">
            <w:pPr>
              <w:spacing w:before="120" w:line="276" w:lineRule="auto"/>
              <w:contextualSpacing/>
              <w:cnfStyle w:val="000000000000" w:firstRow="0" w:lastRow="0" w:firstColumn="0" w:lastColumn="0" w:oddVBand="0" w:evenVBand="0" w:oddHBand="0" w:evenHBand="0" w:firstRowFirstColumn="0" w:firstRowLastColumn="0" w:lastRowFirstColumn="0" w:lastRowLastColumn="0"/>
            </w:pPr>
            <w:r w:rsidRPr="00F25D27">
              <w:t>P</w:t>
            </w:r>
            <w:r>
              <w:t>roactive</w:t>
            </w:r>
            <w:r w:rsidRPr="00F25D27">
              <w:t xml:space="preserve"> AUP M</w:t>
            </w:r>
            <w:r>
              <w:t>onitoring</w:t>
            </w:r>
            <w:r w:rsidR="00A8063F">
              <w:t xml:space="preserve"> - Core</w:t>
            </w:r>
          </w:p>
        </w:tc>
        <w:tc>
          <w:tcPr>
            <w:tcW w:w="1789" w:type="dxa"/>
            <w:tcBorders>
              <w:bottom w:val="single" w:sz="4" w:space="0" w:color="BDD6EE" w:themeColor="accent1" w:themeTint="66"/>
            </w:tcBorders>
            <w:shd w:val="clear" w:color="auto" w:fill="auto"/>
            <w:vAlign w:val="center"/>
          </w:tcPr>
          <w:p w14:paraId="3786D085" w14:textId="5E01C31D" w:rsidR="009502BB" w:rsidRDefault="009502BB" w:rsidP="00C5563B">
            <w:pPr>
              <w:spacing w:before="120" w:line="276" w:lineRule="auto"/>
              <w:contextualSpacing/>
              <w:jc w:val="center"/>
              <w:cnfStyle w:val="000000000000" w:firstRow="0" w:lastRow="0" w:firstColumn="0" w:lastColumn="0" w:oddVBand="0" w:evenVBand="0" w:oddHBand="0" w:evenHBand="0" w:firstRowFirstColumn="0" w:firstRowLastColumn="0" w:lastRowFirstColumn="0" w:lastRowLastColumn="0"/>
            </w:pPr>
            <w:r>
              <w:t>Further Consultation</w:t>
            </w:r>
          </w:p>
        </w:tc>
        <w:tc>
          <w:tcPr>
            <w:tcW w:w="3987" w:type="dxa"/>
            <w:tcBorders>
              <w:bottom w:val="single" w:sz="4" w:space="0" w:color="BDD6EE" w:themeColor="accent1" w:themeTint="66"/>
            </w:tcBorders>
            <w:shd w:val="clear" w:color="auto" w:fill="auto"/>
            <w:vAlign w:val="center"/>
          </w:tcPr>
          <w:p w14:paraId="3407085D" w14:textId="12A8CB35" w:rsidR="009502BB" w:rsidRPr="00F25D27" w:rsidRDefault="009502BB" w:rsidP="00C5563B">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 xml:space="preserve">2020: </w:t>
            </w:r>
            <w:r w:rsidRPr="00F25D27">
              <w:rPr>
                <w:rFonts w:eastAsia="Times New Roman"/>
                <w:color w:val="000000"/>
                <w:lang w:eastAsia="en-GB"/>
              </w:rPr>
              <w:tab/>
            </w:r>
            <w:r>
              <w:rPr>
                <w:rFonts w:eastAsia="Times New Roman"/>
                <w:color w:val="000000"/>
                <w:lang w:eastAsia="en-GB"/>
              </w:rPr>
              <w:t>None</w:t>
            </w:r>
          </w:p>
          <w:p w14:paraId="0CD8A02B" w14:textId="3D632192" w:rsidR="009502BB" w:rsidRPr="00F25D27" w:rsidRDefault="009502BB" w:rsidP="00C5563B">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2021-2024:</w:t>
            </w:r>
            <w:r w:rsidRPr="00F25D27">
              <w:rPr>
                <w:rFonts w:eastAsia="Times New Roman"/>
                <w:color w:val="000000"/>
                <w:lang w:eastAsia="en-GB"/>
              </w:rPr>
              <w:tab/>
              <w:t>€82</w:t>
            </w:r>
            <w:r>
              <w:rPr>
                <w:rFonts w:eastAsia="Times New Roman"/>
                <w:color w:val="000000"/>
                <w:lang w:eastAsia="en-GB"/>
              </w:rPr>
              <w:t>.5K</w:t>
            </w:r>
            <w:r w:rsidR="00934BAE">
              <w:rPr>
                <w:rFonts w:eastAsia="Times New Roman"/>
                <w:color w:val="000000"/>
                <w:lang w:eastAsia="en-GB"/>
              </w:rPr>
              <w:t xml:space="preserve"> pa</w:t>
            </w:r>
          </w:p>
          <w:p w14:paraId="49FA51A3" w14:textId="182136ED" w:rsidR="009502BB" w:rsidRPr="00FB012C" w:rsidRDefault="009502BB" w:rsidP="00C5563B">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pPr>
            <w:r w:rsidRPr="00F25D27">
              <w:rPr>
                <w:rFonts w:eastAsia="Times New Roman"/>
                <w:color w:val="000000"/>
                <w:lang w:eastAsia="en-GB"/>
              </w:rPr>
              <w:t>2025-:</w:t>
            </w:r>
            <w:r w:rsidRPr="00F25D27">
              <w:rPr>
                <w:rFonts w:eastAsia="Times New Roman"/>
                <w:color w:val="000000"/>
                <w:lang w:eastAsia="en-GB"/>
              </w:rPr>
              <w:tab/>
              <w:t>€</w:t>
            </w:r>
            <w:r>
              <w:rPr>
                <w:rFonts w:eastAsia="Times New Roman"/>
                <w:color w:val="000000"/>
                <w:lang w:eastAsia="en-GB"/>
              </w:rPr>
              <w:t>40K</w:t>
            </w:r>
            <w:r w:rsidR="00934BAE">
              <w:rPr>
                <w:rFonts w:eastAsia="Times New Roman"/>
                <w:color w:val="000000"/>
                <w:lang w:eastAsia="en-GB"/>
              </w:rPr>
              <w:t xml:space="preserve"> pa</w:t>
            </w:r>
          </w:p>
        </w:tc>
      </w:tr>
      <w:tr w:rsidR="00A8063F" w14:paraId="30CC559E"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51" w:type="dxa"/>
            <w:tcBorders>
              <w:bottom w:val="single" w:sz="4" w:space="0" w:color="BDD6EE" w:themeColor="accent1" w:themeTint="66"/>
            </w:tcBorders>
            <w:shd w:val="clear" w:color="auto" w:fill="5B9BD5"/>
            <w:vAlign w:val="center"/>
          </w:tcPr>
          <w:p w14:paraId="452F8F8C" w14:textId="0D80F00D" w:rsidR="00A8063F" w:rsidRDefault="00A8063F" w:rsidP="00A8063F">
            <w:pPr>
              <w:spacing w:before="120" w:line="276" w:lineRule="auto"/>
              <w:contextualSpacing/>
            </w:pPr>
            <w:r>
              <w:fldChar w:fldCharType="begin"/>
            </w:r>
            <w:r>
              <w:instrText xml:space="preserve"> REF _Ref13077377 \r \h  \* MERGEFORMAT </w:instrText>
            </w:r>
            <w:r>
              <w:fldChar w:fldCharType="separate"/>
            </w:r>
            <w:r>
              <w:t>5.3.4</w:t>
            </w:r>
            <w:r>
              <w:fldChar w:fldCharType="end"/>
            </w:r>
          </w:p>
        </w:tc>
        <w:tc>
          <w:tcPr>
            <w:tcW w:w="2340" w:type="dxa"/>
            <w:tcBorders>
              <w:bottom w:val="single" w:sz="4" w:space="0" w:color="BDD6EE" w:themeColor="accent1" w:themeTint="66"/>
            </w:tcBorders>
            <w:vAlign w:val="center"/>
          </w:tcPr>
          <w:p w14:paraId="4CA2C021" w14:textId="060B6190" w:rsidR="00A8063F" w:rsidRPr="00F25D27" w:rsidRDefault="00A8063F" w:rsidP="00A8063F">
            <w:pPr>
              <w:spacing w:before="120" w:line="276" w:lineRule="auto"/>
              <w:contextualSpacing/>
              <w:cnfStyle w:val="000000100000" w:firstRow="0" w:lastRow="0" w:firstColumn="0" w:lastColumn="0" w:oddVBand="0" w:evenVBand="0" w:oddHBand="1" w:evenHBand="0" w:firstRowFirstColumn="0" w:firstRowLastColumn="0" w:lastRowFirstColumn="0" w:lastRowLastColumn="0"/>
            </w:pPr>
            <w:r w:rsidRPr="00F25D27">
              <w:t>P</w:t>
            </w:r>
            <w:r>
              <w:t>roactive</w:t>
            </w:r>
            <w:r w:rsidRPr="00F25D27">
              <w:t xml:space="preserve"> AUP M</w:t>
            </w:r>
            <w:r>
              <w:t>onitoring - API</w:t>
            </w:r>
          </w:p>
        </w:tc>
        <w:tc>
          <w:tcPr>
            <w:tcW w:w="1789" w:type="dxa"/>
            <w:tcBorders>
              <w:bottom w:val="single" w:sz="4" w:space="0" w:color="BDD6EE" w:themeColor="accent1" w:themeTint="66"/>
            </w:tcBorders>
            <w:vAlign w:val="center"/>
          </w:tcPr>
          <w:p w14:paraId="1AB19CC4" w14:textId="75692BDD" w:rsidR="00A8063F" w:rsidRDefault="00A8063F" w:rsidP="00A8063F">
            <w:pPr>
              <w:spacing w:before="120" w:line="276" w:lineRule="auto"/>
              <w:contextualSpacing/>
              <w:jc w:val="center"/>
              <w:cnfStyle w:val="000000100000" w:firstRow="0" w:lastRow="0" w:firstColumn="0" w:lastColumn="0" w:oddVBand="0" w:evenVBand="0" w:oddHBand="1" w:evenHBand="0" w:firstRowFirstColumn="0" w:firstRowLastColumn="0" w:lastRowFirstColumn="0" w:lastRowLastColumn="0"/>
            </w:pPr>
            <w:r>
              <w:t>Further Consultation</w:t>
            </w:r>
          </w:p>
        </w:tc>
        <w:tc>
          <w:tcPr>
            <w:tcW w:w="3987" w:type="dxa"/>
            <w:tcBorders>
              <w:bottom w:val="single" w:sz="4" w:space="0" w:color="BDD6EE" w:themeColor="accent1" w:themeTint="66"/>
            </w:tcBorders>
            <w:vAlign w:val="center"/>
          </w:tcPr>
          <w:p w14:paraId="5EC4AFED" w14:textId="77777777" w:rsidR="00A8063F" w:rsidRPr="00F25D27" w:rsidRDefault="00A8063F" w:rsidP="00A8063F">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 xml:space="preserve">2020: </w:t>
            </w:r>
            <w:r w:rsidRPr="00F25D27">
              <w:rPr>
                <w:rFonts w:eastAsia="Times New Roman"/>
                <w:color w:val="000000"/>
                <w:lang w:eastAsia="en-GB"/>
              </w:rPr>
              <w:tab/>
            </w:r>
            <w:r>
              <w:rPr>
                <w:rFonts w:eastAsia="Times New Roman"/>
                <w:color w:val="000000"/>
                <w:lang w:eastAsia="en-GB"/>
              </w:rPr>
              <w:t>None</w:t>
            </w:r>
          </w:p>
          <w:p w14:paraId="3A9DEDA4" w14:textId="0DCA5236" w:rsidR="00A8063F" w:rsidRPr="00F25D27" w:rsidRDefault="00A8063F" w:rsidP="00A8063F">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2021-2024:</w:t>
            </w:r>
            <w:r w:rsidRPr="00F25D27">
              <w:rPr>
                <w:rFonts w:eastAsia="Times New Roman"/>
                <w:color w:val="000000"/>
                <w:lang w:eastAsia="en-GB"/>
              </w:rPr>
              <w:tab/>
              <w:t>€</w:t>
            </w:r>
            <w:r>
              <w:rPr>
                <w:rFonts w:eastAsia="Times New Roman"/>
                <w:color w:val="000000"/>
                <w:lang w:eastAsia="en-GB"/>
              </w:rPr>
              <w:t>41.</w:t>
            </w:r>
            <w:r w:rsidRPr="00F25D27">
              <w:rPr>
                <w:rFonts w:eastAsia="Times New Roman"/>
                <w:color w:val="000000"/>
                <w:lang w:eastAsia="en-GB"/>
              </w:rPr>
              <w:t>2</w:t>
            </w:r>
            <w:r>
              <w:rPr>
                <w:rFonts w:eastAsia="Times New Roman"/>
                <w:color w:val="000000"/>
                <w:lang w:eastAsia="en-GB"/>
              </w:rPr>
              <w:t>5K</w:t>
            </w:r>
            <w:r w:rsidR="00934BAE">
              <w:rPr>
                <w:rFonts w:eastAsia="Times New Roman"/>
                <w:color w:val="000000"/>
                <w:lang w:eastAsia="en-GB"/>
              </w:rPr>
              <w:t xml:space="preserve"> pa</w:t>
            </w:r>
          </w:p>
          <w:p w14:paraId="2AD7B876" w14:textId="4DE2D8C1" w:rsidR="00A8063F" w:rsidRPr="00F25D27" w:rsidRDefault="00A8063F" w:rsidP="00A8063F">
            <w:pPr>
              <w:pStyle w:val="ListParagraph"/>
              <w:numPr>
                <w:ilvl w:val="0"/>
                <w:numId w:val="4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2025-:</w:t>
            </w:r>
            <w:r w:rsidRPr="00F25D27">
              <w:rPr>
                <w:rFonts w:eastAsia="Times New Roman"/>
                <w:color w:val="000000"/>
                <w:lang w:eastAsia="en-GB"/>
              </w:rPr>
              <w:tab/>
              <w:t>€</w:t>
            </w:r>
            <w:r>
              <w:rPr>
                <w:rFonts w:eastAsia="Times New Roman"/>
                <w:color w:val="000000"/>
                <w:lang w:eastAsia="en-GB"/>
              </w:rPr>
              <w:t>20K</w:t>
            </w:r>
            <w:r w:rsidR="00FB53D1">
              <w:rPr>
                <w:rFonts w:eastAsia="Times New Roman"/>
                <w:color w:val="000000"/>
                <w:lang w:eastAsia="en-GB"/>
              </w:rPr>
              <w:t xml:space="preserve"> pa</w:t>
            </w:r>
          </w:p>
        </w:tc>
      </w:tr>
      <w:tr w:rsidR="00A8063F" w14:paraId="7F05D2AC" w14:textId="77777777" w:rsidTr="00597165">
        <w:trPr>
          <w:trHeight w:val="693"/>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BDD6EE" w:themeColor="accent1" w:themeTint="66"/>
              <w:bottom w:val="single" w:sz="4" w:space="0" w:color="BDD6EE" w:themeColor="accent1" w:themeTint="66"/>
            </w:tcBorders>
            <w:vAlign w:val="center"/>
          </w:tcPr>
          <w:p w14:paraId="3AEFA42C" w14:textId="6673D90B" w:rsidR="00A8063F" w:rsidRPr="00F60ED8" w:rsidRDefault="00A8063F" w:rsidP="00A8063F">
            <w:pPr>
              <w:spacing w:before="120" w:line="276" w:lineRule="auto"/>
              <w:contextualSpacing/>
              <w:rPr>
                <w:b w:val="0"/>
                <w:bCs w:val="0"/>
              </w:rPr>
            </w:pPr>
          </w:p>
        </w:tc>
        <w:tc>
          <w:tcPr>
            <w:tcW w:w="4129" w:type="dxa"/>
            <w:gridSpan w:val="2"/>
            <w:tcBorders>
              <w:top w:val="single" w:sz="4" w:space="0" w:color="BDD6EE" w:themeColor="accent1" w:themeTint="66"/>
              <w:bottom w:val="single" w:sz="4" w:space="0" w:color="BDD6EE" w:themeColor="accent1" w:themeTint="66"/>
            </w:tcBorders>
            <w:vAlign w:val="center"/>
          </w:tcPr>
          <w:p w14:paraId="061BACC2" w14:textId="6EB37031" w:rsidR="00A8063F" w:rsidRPr="00F25D27" w:rsidRDefault="00A8063F" w:rsidP="00B81F55">
            <w:pPr>
              <w:spacing w:before="120" w:line="276" w:lineRule="auto"/>
              <w:contextualSpacing/>
              <w:cnfStyle w:val="000000000000" w:firstRow="0" w:lastRow="0" w:firstColumn="0" w:lastColumn="0" w:oddVBand="0" w:evenVBand="0" w:oddHBand="0" w:evenHBand="0" w:firstRowFirstColumn="0" w:firstRowLastColumn="0" w:lastRowFirstColumn="0" w:lastRowLastColumn="0"/>
            </w:pPr>
            <w:r w:rsidRPr="00F60ED8">
              <w:t>TOTAL</w:t>
            </w:r>
            <w:r>
              <w:rPr>
                <w:rStyle w:val="FootnoteReference"/>
              </w:rPr>
              <w:footnoteReference w:id="15"/>
            </w:r>
          </w:p>
        </w:tc>
        <w:tc>
          <w:tcPr>
            <w:tcW w:w="3987" w:type="dxa"/>
            <w:tcBorders>
              <w:top w:val="single" w:sz="4" w:space="0" w:color="BDD6EE" w:themeColor="accent1" w:themeTint="66"/>
              <w:bottom w:val="single" w:sz="4" w:space="0" w:color="BDD6EE" w:themeColor="accent1" w:themeTint="66"/>
            </w:tcBorders>
            <w:vAlign w:val="center"/>
          </w:tcPr>
          <w:p w14:paraId="6EBF2F38" w14:textId="0B423FD1" w:rsidR="00A8063F" w:rsidRPr="00815088" w:rsidRDefault="00A8063F" w:rsidP="00A8063F">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color w:val="000000"/>
              </w:rPr>
            </w:pPr>
            <w:r w:rsidRPr="00815088">
              <w:rPr>
                <w:color w:val="000000"/>
              </w:rPr>
              <w:t xml:space="preserve">2020: </w:t>
            </w:r>
            <w:r w:rsidRPr="00815088">
              <w:rPr>
                <w:color w:val="000000"/>
              </w:rPr>
              <w:tab/>
              <w:t>None</w:t>
            </w:r>
          </w:p>
          <w:p w14:paraId="37835FA5" w14:textId="10886D33" w:rsidR="00A8063F" w:rsidRPr="00815088" w:rsidRDefault="00A8063F" w:rsidP="00A8063F">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color w:val="000000"/>
              </w:rPr>
            </w:pPr>
            <w:r w:rsidRPr="00815088">
              <w:rPr>
                <w:color w:val="000000"/>
              </w:rPr>
              <w:t>2021-2024:</w:t>
            </w:r>
            <w:r w:rsidRPr="00815088">
              <w:rPr>
                <w:color w:val="000000"/>
              </w:rPr>
              <w:tab/>
              <w:t>€</w:t>
            </w:r>
            <w:r>
              <w:rPr>
                <w:color w:val="000000"/>
              </w:rPr>
              <w:t>123.75</w:t>
            </w:r>
            <w:r w:rsidRPr="00815088">
              <w:rPr>
                <w:color w:val="000000"/>
              </w:rPr>
              <w:t>K</w:t>
            </w:r>
            <w:r w:rsidR="00934BAE">
              <w:rPr>
                <w:color w:val="000000"/>
              </w:rPr>
              <w:t xml:space="preserve"> </w:t>
            </w:r>
            <w:r w:rsidR="00934BAE">
              <w:rPr>
                <w:rFonts w:eastAsia="Times New Roman"/>
                <w:color w:val="000000"/>
                <w:lang w:eastAsia="en-GB"/>
              </w:rPr>
              <w:t>pa</w:t>
            </w:r>
          </w:p>
          <w:p w14:paraId="45F910C9" w14:textId="60F17109" w:rsidR="00A8063F" w:rsidRPr="00F60ED8" w:rsidRDefault="00A8063F" w:rsidP="00A8063F">
            <w:pPr>
              <w:pStyle w:val="ListParagraph"/>
              <w:numPr>
                <w:ilvl w:val="0"/>
                <w:numId w:val="4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GB"/>
              </w:rPr>
            </w:pPr>
            <w:r w:rsidRPr="00815088">
              <w:rPr>
                <w:color w:val="000000"/>
              </w:rPr>
              <w:t>2025-:</w:t>
            </w:r>
            <w:r w:rsidRPr="00815088">
              <w:rPr>
                <w:color w:val="000000"/>
              </w:rPr>
              <w:tab/>
              <w:t>€</w:t>
            </w:r>
            <w:r>
              <w:rPr>
                <w:color w:val="000000"/>
              </w:rPr>
              <w:t>6</w:t>
            </w:r>
            <w:r w:rsidRPr="00815088">
              <w:rPr>
                <w:color w:val="000000"/>
              </w:rPr>
              <w:t>0K</w:t>
            </w:r>
            <w:r w:rsidR="00934BAE">
              <w:rPr>
                <w:color w:val="000000"/>
              </w:rPr>
              <w:t xml:space="preserve"> </w:t>
            </w:r>
            <w:r w:rsidR="00934BAE">
              <w:rPr>
                <w:rFonts w:eastAsia="Times New Roman"/>
                <w:color w:val="000000"/>
                <w:lang w:eastAsia="en-GB"/>
              </w:rPr>
              <w:t>pa</w:t>
            </w:r>
          </w:p>
        </w:tc>
      </w:tr>
    </w:tbl>
    <w:p w14:paraId="3861C6CD" w14:textId="0390FFF0" w:rsidR="00195103" w:rsidRDefault="00195103" w:rsidP="00DA7FD4">
      <w:pPr>
        <w:spacing w:after="0"/>
        <w:rPr>
          <w:rFonts w:ascii="Calibri" w:eastAsia="Times New Roman" w:hAnsi="Calibri" w:cs="Calibri"/>
          <w:color w:val="000000"/>
          <w:lang w:eastAsia="en-GB"/>
        </w:rPr>
      </w:pPr>
    </w:p>
    <w:p w14:paraId="6CB75993" w14:textId="77777777" w:rsidR="00C52E5B" w:rsidRDefault="00C52E5B" w:rsidP="00815088">
      <w:pPr>
        <w:spacing w:after="0"/>
        <w:rPr>
          <w:rFonts w:ascii="Calibri" w:eastAsia="Times New Roman" w:hAnsi="Calibri" w:cs="Calibri"/>
          <w:color w:val="000000"/>
          <w:lang w:eastAsia="en-GB"/>
        </w:rPr>
      </w:pPr>
    </w:p>
    <w:p w14:paraId="1A146650" w14:textId="29FFC727" w:rsidR="00195103" w:rsidRDefault="00195103" w:rsidP="00195103">
      <w:pPr>
        <w:pStyle w:val="Heading3"/>
      </w:pPr>
      <w:bookmarkStart w:id="87" w:name="_Ref13077357"/>
      <w:bookmarkStart w:id="88" w:name="_Toc13087146"/>
      <w:bookmarkStart w:id="89" w:name="_Toc13157233"/>
      <w:r>
        <w:t xml:space="preserve">Q3.1 – </w:t>
      </w:r>
      <w:r w:rsidR="00F25D27">
        <w:t>BULK ISIN CREATION</w:t>
      </w:r>
      <w:bookmarkEnd w:id="87"/>
      <w:bookmarkEnd w:id="88"/>
      <w:bookmarkEnd w:id="89"/>
    </w:p>
    <w:p w14:paraId="1BA5DB9D" w14:textId="692329C5" w:rsidR="00195103" w:rsidRDefault="00195103" w:rsidP="00195103">
      <w:pPr>
        <w:rPr>
          <w:u w:val="single"/>
        </w:rPr>
      </w:pPr>
      <w:r>
        <w:rPr>
          <w:noProof/>
          <w:lang w:eastAsia="en-GB"/>
        </w:rPr>
        <mc:AlternateContent>
          <mc:Choice Requires="wps">
            <w:drawing>
              <wp:anchor distT="45720" distB="45720" distL="114300" distR="114300" simplePos="0" relativeHeight="251786240" behindDoc="0" locked="0" layoutInCell="1" allowOverlap="1" wp14:anchorId="7454CE88" wp14:editId="6FFBA971">
                <wp:simplePos x="0" y="0"/>
                <wp:positionH relativeFrom="margin">
                  <wp:align>right</wp:align>
                </wp:positionH>
                <wp:positionV relativeFrom="paragraph">
                  <wp:posOffset>282538</wp:posOffset>
                </wp:positionV>
                <wp:extent cx="5716905" cy="1404620"/>
                <wp:effectExtent l="0" t="0" r="17145" b="139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8A20967" w14:textId="0B4DF136" w:rsidR="00D52BA4" w:rsidRPr="00195103" w:rsidRDefault="00D52BA4" w:rsidP="00195103">
                            <w:r>
                              <w:rPr>
                                <w:rStyle w:val="normaltextrun"/>
                                <w:rFonts w:ascii="Calibri" w:hAnsi="Calibri" w:cs="Calibri"/>
                                <w:b/>
                                <w:bCs/>
                                <w:color w:val="000000"/>
                              </w:rPr>
                              <w:t xml:space="preserve">CP1 Question: </w:t>
                            </w:r>
                            <w:r w:rsidRPr="00195103">
                              <w:rPr>
                                <w:rStyle w:val="normaltextrun"/>
                                <w:rFonts w:ascii="Calibri" w:hAnsi="Calibri" w:cs="Calibri"/>
                                <w:bCs/>
                                <w:color w:val="000000"/>
                              </w:rPr>
                              <w:t>Is the creation of one OTC ISIN at a time satisfactory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54CE88" id="_x0000_s1057" type="#_x0000_t202" style="position:absolute;margin-left:398.95pt;margin-top:22.25pt;width:450.15pt;height:110.6pt;z-index:251786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">
                <v:textbox style="mso-fit-shape-to-text:t">
                  <w:txbxContent>
                    <w:p w14:paraId="38A20967" w14:textId="0B4DF136" w:rsidR="00D52BA4" w:rsidRPr="00195103" w:rsidRDefault="00D52BA4" w:rsidP="00195103">
                      <w:r>
                        <w:rPr>
                          <w:rStyle w:val="normaltextrun"/>
                          <w:rFonts w:ascii="Calibri" w:hAnsi="Calibri" w:cs="Calibri"/>
                          <w:b/>
                          <w:bCs/>
                          <w:color w:val="000000"/>
                        </w:rPr>
                        <w:t xml:space="preserve">CP1 Question: </w:t>
                      </w:r>
                      <w:r w:rsidRPr="00195103">
                        <w:rPr>
                          <w:rStyle w:val="normaltextrun"/>
                          <w:rFonts w:ascii="Calibri" w:hAnsi="Calibri" w:cs="Calibri"/>
                          <w:bCs/>
                          <w:color w:val="000000"/>
                        </w:rPr>
                        <w:t>Is the creation of one OTC ISIN at a time satisfactory</w:t>
                      </w:r>
                    </w:p>
                  </w:txbxContent>
                </v:textbox>
                <w10:wrap type="square" anchorx="margin"/>
              </v:shape>
            </w:pict>
          </mc:Fallback>
        </mc:AlternateContent>
      </w:r>
      <w:r>
        <w:rPr>
          <w:u w:val="single"/>
        </w:rPr>
        <w:t>Industry Responses</w:t>
      </w:r>
    </w:p>
    <w:p w14:paraId="31F6EB29" w14:textId="268891F9" w:rsidR="00195103" w:rsidRDefault="00195103" w:rsidP="00195103">
      <w:pPr>
        <w:spacing w:before="240" w:after="60" w:line="276" w:lineRule="auto"/>
      </w:pPr>
      <w:r>
        <w:t>Only two responses were received to the question posed in the first consultation, as set out below:</w:t>
      </w:r>
    </w:p>
    <w:tbl>
      <w:tblPr>
        <w:tblW w:w="3298"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195103" w:rsidRPr="00BE2E1D" w14:paraId="2F6A5189" w14:textId="77777777" w:rsidTr="00195103">
        <w:trPr>
          <w:trHeight w:val="288"/>
        </w:trPr>
        <w:tc>
          <w:tcPr>
            <w:tcW w:w="2127" w:type="dxa"/>
            <w:vMerge w:val="restart"/>
            <w:shd w:val="clear" w:color="auto" w:fill="auto"/>
            <w:noWrap/>
            <w:vAlign w:val="center"/>
            <w:hideMark/>
          </w:tcPr>
          <w:p w14:paraId="68A863A7" w14:textId="77777777" w:rsidR="00195103" w:rsidRPr="00BE2E1D" w:rsidRDefault="00195103" w:rsidP="00C47967">
            <w:pPr>
              <w:spacing w:after="0" w:line="276"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1F03DCC1" w14:textId="77777777" w:rsidR="00195103" w:rsidRPr="00BE2E1D" w:rsidRDefault="00195103" w:rsidP="00C47967">
            <w:pPr>
              <w:spacing w:after="0" w:line="276" w:lineRule="auto"/>
              <w:jc w:val="center"/>
              <w:rPr>
                <w:rFonts w:ascii="Calibri" w:eastAsia="Times New Roman" w:hAnsi="Calibri" w:cs="Calibri"/>
                <w:b/>
                <w:bCs/>
                <w:color w:val="000000"/>
                <w:sz w:val="21"/>
                <w:szCs w:val="21"/>
                <w:lang w:eastAsia="en-GB"/>
              </w:rPr>
            </w:pPr>
            <w:r w:rsidRPr="00BE2E1D">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72389ED8" w14:textId="77777777" w:rsidR="00195103" w:rsidRPr="00BE2E1D" w:rsidRDefault="00195103" w:rsidP="00C47967">
            <w:pPr>
              <w:spacing w:after="0" w:line="276" w:lineRule="auto"/>
              <w:jc w:val="center"/>
              <w:rPr>
                <w:rFonts w:ascii="Calibri" w:eastAsia="Times New Roman" w:hAnsi="Calibri" w:cs="Calibri"/>
                <w:b/>
                <w:bCs/>
                <w:color w:val="000000"/>
                <w:sz w:val="21"/>
                <w:szCs w:val="21"/>
                <w:lang w:eastAsia="en-GB"/>
              </w:rPr>
            </w:pPr>
            <w:r w:rsidRPr="00BE2E1D">
              <w:rPr>
                <w:rFonts w:ascii="Calibri" w:eastAsia="Times New Roman" w:hAnsi="Calibri" w:cs="Calibri"/>
                <w:b/>
                <w:bCs/>
                <w:color w:val="000000"/>
                <w:sz w:val="21"/>
                <w:szCs w:val="21"/>
                <w:lang w:eastAsia="en-GB"/>
              </w:rPr>
              <w:t>No</w:t>
            </w:r>
          </w:p>
        </w:tc>
      </w:tr>
      <w:tr w:rsidR="00195103" w:rsidRPr="00BE2E1D" w14:paraId="0A60C6B7" w14:textId="77777777" w:rsidTr="00195103">
        <w:trPr>
          <w:trHeight w:val="288"/>
        </w:trPr>
        <w:tc>
          <w:tcPr>
            <w:tcW w:w="2127" w:type="dxa"/>
            <w:vMerge/>
            <w:vAlign w:val="center"/>
            <w:hideMark/>
          </w:tcPr>
          <w:p w14:paraId="1CC6B134" w14:textId="77777777" w:rsidR="00195103" w:rsidRPr="00BE2E1D" w:rsidRDefault="00195103" w:rsidP="00C47967">
            <w:pPr>
              <w:spacing w:after="0" w:line="276" w:lineRule="auto"/>
              <w:rPr>
                <w:rFonts w:ascii="Times New Roman" w:eastAsia="Times New Roman" w:hAnsi="Times New Roman" w:cs="Times New Roman"/>
                <w:sz w:val="24"/>
                <w:szCs w:val="24"/>
                <w:lang w:eastAsia="en-GB"/>
              </w:rPr>
            </w:pPr>
          </w:p>
        </w:tc>
        <w:tc>
          <w:tcPr>
            <w:tcW w:w="515" w:type="dxa"/>
            <w:shd w:val="clear" w:color="000000" w:fill="F6E984"/>
            <w:noWrap/>
            <w:vAlign w:val="center"/>
            <w:hideMark/>
          </w:tcPr>
          <w:p w14:paraId="0D88CB1C" w14:textId="77777777" w:rsidR="00195103" w:rsidRPr="00BE2E1D" w:rsidRDefault="00195103" w:rsidP="00C47967">
            <w:pPr>
              <w:spacing w:after="0" w:line="276" w:lineRule="auto"/>
              <w:jc w:val="center"/>
              <w:rPr>
                <w:rFonts w:ascii="Calibri" w:eastAsia="Times New Roman" w:hAnsi="Calibri" w:cs="Calibri"/>
                <w:b/>
                <w:bCs/>
                <w:color w:val="000000"/>
                <w:sz w:val="21"/>
                <w:szCs w:val="21"/>
                <w:lang w:eastAsia="en-GB"/>
              </w:rPr>
            </w:pPr>
            <w:r w:rsidRPr="00BE2E1D">
              <w:rPr>
                <w:rFonts w:ascii="Calibri" w:eastAsia="Times New Roman" w:hAnsi="Calibri" w:cs="Calibri"/>
                <w:b/>
                <w:bCs/>
                <w:color w:val="000000"/>
                <w:sz w:val="21"/>
                <w:szCs w:val="21"/>
                <w:lang w:eastAsia="en-GB"/>
              </w:rPr>
              <w:t>2</w:t>
            </w:r>
          </w:p>
        </w:tc>
        <w:tc>
          <w:tcPr>
            <w:tcW w:w="656" w:type="dxa"/>
            <w:shd w:val="clear" w:color="000000" w:fill="F8696B"/>
            <w:noWrap/>
            <w:vAlign w:val="center"/>
            <w:hideMark/>
          </w:tcPr>
          <w:p w14:paraId="53E49746" w14:textId="77777777" w:rsidR="00195103" w:rsidRPr="00BE2E1D" w:rsidRDefault="00195103" w:rsidP="00C47967">
            <w:pPr>
              <w:spacing w:after="0" w:line="276" w:lineRule="auto"/>
              <w:jc w:val="center"/>
              <w:rPr>
                <w:rFonts w:ascii="Calibri" w:eastAsia="Times New Roman" w:hAnsi="Calibri" w:cs="Calibri"/>
                <w:b/>
                <w:bCs/>
                <w:color w:val="000000"/>
                <w:sz w:val="21"/>
                <w:szCs w:val="21"/>
                <w:lang w:eastAsia="en-GB"/>
              </w:rPr>
            </w:pPr>
            <w:r w:rsidRPr="00BE2E1D">
              <w:rPr>
                <w:rFonts w:ascii="Calibri" w:eastAsia="Times New Roman" w:hAnsi="Calibri" w:cs="Calibri"/>
                <w:b/>
                <w:bCs/>
                <w:color w:val="000000"/>
                <w:sz w:val="21"/>
                <w:szCs w:val="21"/>
                <w:lang w:eastAsia="en-GB"/>
              </w:rPr>
              <w:t>0</w:t>
            </w:r>
          </w:p>
        </w:tc>
      </w:tr>
      <w:tr w:rsidR="00195103" w:rsidRPr="00BE2E1D" w14:paraId="45DD6068" w14:textId="77777777" w:rsidTr="00195103">
        <w:trPr>
          <w:trHeight w:val="288"/>
        </w:trPr>
        <w:tc>
          <w:tcPr>
            <w:tcW w:w="2127" w:type="dxa"/>
            <w:shd w:val="clear" w:color="auto" w:fill="auto"/>
            <w:noWrap/>
            <w:vAlign w:val="center"/>
            <w:hideMark/>
          </w:tcPr>
          <w:p w14:paraId="3DB423E9" w14:textId="77777777" w:rsidR="00195103" w:rsidRPr="00BE2E1D" w:rsidRDefault="00195103" w:rsidP="00C47967">
            <w:pPr>
              <w:spacing w:after="0" w:line="276" w:lineRule="auto"/>
              <w:jc w:val="right"/>
              <w:rPr>
                <w:rFonts w:ascii="Calibri" w:eastAsia="Times New Roman" w:hAnsi="Calibri" w:cs="Calibri"/>
                <w:color w:val="000000"/>
                <w:sz w:val="21"/>
                <w:szCs w:val="21"/>
                <w:lang w:eastAsia="en-GB"/>
              </w:rPr>
            </w:pPr>
            <w:r w:rsidRPr="00BE2E1D">
              <w:rPr>
                <w:rFonts w:ascii="Calibri" w:eastAsia="Times New Roman" w:hAnsi="Calibri" w:cs="Calibri"/>
                <w:color w:val="000000"/>
                <w:sz w:val="21"/>
                <w:szCs w:val="21"/>
                <w:lang w:eastAsia="en-GB"/>
              </w:rPr>
              <w:t>Trade Associations</w:t>
            </w:r>
          </w:p>
        </w:tc>
        <w:tc>
          <w:tcPr>
            <w:tcW w:w="515" w:type="dxa"/>
            <w:shd w:val="clear" w:color="auto" w:fill="auto"/>
            <w:noWrap/>
            <w:vAlign w:val="center"/>
            <w:hideMark/>
          </w:tcPr>
          <w:p w14:paraId="42D27BC9" w14:textId="77777777" w:rsidR="00195103" w:rsidRPr="00BE2E1D" w:rsidRDefault="00195103" w:rsidP="00C47967">
            <w:pPr>
              <w:spacing w:after="0" w:line="276" w:lineRule="auto"/>
              <w:jc w:val="center"/>
              <w:rPr>
                <w:rFonts w:ascii="Calibri" w:eastAsia="Times New Roman" w:hAnsi="Calibri" w:cs="Calibri"/>
                <w:color w:val="000000"/>
                <w:sz w:val="21"/>
                <w:szCs w:val="21"/>
                <w:lang w:eastAsia="en-GB"/>
              </w:rPr>
            </w:pPr>
            <w:r w:rsidRPr="00BE2E1D">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1FE39534" w14:textId="77777777" w:rsidR="00195103" w:rsidRPr="00815088" w:rsidRDefault="00195103" w:rsidP="00C47967">
            <w:pPr>
              <w:spacing w:after="0" w:line="276" w:lineRule="auto"/>
              <w:jc w:val="center"/>
              <w:rPr>
                <w:rFonts w:ascii="Calibri" w:eastAsia="Times New Roman" w:hAnsi="Calibri" w:cs="Calibri"/>
                <w:color w:val="FFFFFF" w:themeColor="background1"/>
                <w:sz w:val="21"/>
                <w:szCs w:val="21"/>
                <w:lang w:eastAsia="en-GB"/>
              </w:rPr>
            </w:pPr>
            <w:r w:rsidRPr="00815088">
              <w:rPr>
                <w:rFonts w:ascii="Calibri" w:eastAsia="Times New Roman" w:hAnsi="Calibri" w:cs="Calibri"/>
                <w:color w:val="FFFFFF" w:themeColor="background1"/>
                <w:sz w:val="21"/>
                <w:szCs w:val="21"/>
                <w:lang w:eastAsia="en-GB"/>
              </w:rPr>
              <w:t>0</w:t>
            </w:r>
          </w:p>
        </w:tc>
      </w:tr>
      <w:tr w:rsidR="00195103" w:rsidRPr="00BE2E1D" w14:paraId="229C08B9" w14:textId="77777777" w:rsidTr="00195103">
        <w:trPr>
          <w:trHeight w:val="288"/>
        </w:trPr>
        <w:tc>
          <w:tcPr>
            <w:tcW w:w="2127" w:type="dxa"/>
            <w:shd w:val="clear" w:color="auto" w:fill="auto"/>
            <w:noWrap/>
            <w:vAlign w:val="center"/>
            <w:hideMark/>
          </w:tcPr>
          <w:p w14:paraId="58C8626D" w14:textId="77777777" w:rsidR="00195103" w:rsidRPr="00BE2E1D" w:rsidRDefault="00195103" w:rsidP="00C47967">
            <w:pPr>
              <w:spacing w:after="0" w:line="276" w:lineRule="auto"/>
              <w:jc w:val="right"/>
              <w:rPr>
                <w:rFonts w:ascii="Calibri" w:eastAsia="Times New Roman" w:hAnsi="Calibri" w:cs="Calibri"/>
                <w:color w:val="000000"/>
                <w:sz w:val="21"/>
                <w:szCs w:val="21"/>
                <w:lang w:eastAsia="en-GB"/>
              </w:rPr>
            </w:pPr>
            <w:r w:rsidRPr="00BE2E1D">
              <w:rPr>
                <w:rFonts w:ascii="Calibri" w:eastAsia="Times New Roman" w:hAnsi="Calibri" w:cs="Calibri"/>
                <w:color w:val="000000"/>
                <w:sz w:val="21"/>
                <w:szCs w:val="21"/>
                <w:lang w:eastAsia="en-GB"/>
              </w:rPr>
              <w:t>DSB Users</w:t>
            </w:r>
          </w:p>
        </w:tc>
        <w:tc>
          <w:tcPr>
            <w:tcW w:w="515" w:type="dxa"/>
            <w:shd w:val="clear" w:color="auto" w:fill="auto"/>
            <w:noWrap/>
            <w:vAlign w:val="center"/>
            <w:hideMark/>
          </w:tcPr>
          <w:p w14:paraId="1A74D7FA" w14:textId="77777777" w:rsidR="00195103" w:rsidRPr="00BE2E1D" w:rsidRDefault="00195103" w:rsidP="00C47967">
            <w:pPr>
              <w:spacing w:after="0" w:line="276" w:lineRule="auto"/>
              <w:jc w:val="center"/>
              <w:rPr>
                <w:rFonts w:ascii="Calibri" w:eastAsia="Times New Roman" w:hAnsi="Calibri" w:cs="Calibri"/>
                <w:color w:val="000000"/>
                <w:sz w:val="21"/>
                <w:szCs w:val="21"/>
                <w:lang w:eastAsia="en-GB"/>
              </w:rPr>
            </w:pPr>
            <w:r w:rsidRPr="00BE2E1D">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0F8E4646" w14:textId="77777777" w:rsidR="00195103" w:rsidRPr="00815088" w:rsidRDefault="00195103" w:rsidP="00C47967">
            <w:pPr>
              <w:spacing w:after="0" w:line="276" w:lineRule="auto"/>
              <w:jc w:val="center"/>
              <w:rPr>
                <w:rFonts w:ascii="Calibri" w:eastAsia="Times New Roman" w:hAnsi="Calibri" w:cs="Calibri"/>
                <w:color w:val="FFFFFF" w:themeColor="background1"/>
                <w:sz w:val="21"/>
                <w:szCs w:val="21"/>
                <w:lang w:eastAsia="en-GB"/>
              </w:rPr>
            </w:pPr>
            <w:r w:rsidRPr="00815088">
              <w:rPr>
                <w:rFonts w:ascii="Calibri" w:eastAsia="Times New Roman" w:hAnsi="Calibri" w:cs="Calibri"/>
                <w:color w:val="FFFFFF" w:themeColor="background1"/>
                <w:sz w:val="21"/>
                <w:szCs w:val="21"/>
                <w:lang w:eastAsia="en-GB"/>
              </w:rPr>
              <w:t>0</w:t>
            </w:r>
          </w:p>
        </w:tc>
      </w:tr>
    </w:tbl>
    <w:p w14:paraId="28F22B14" w14:textId="05B1309E" w:rsidR="00A8063F" w:rsidRDefault="00A8063F" w:rsidP="00944AAF">
      <w:pPr>
        <w:spacing w:before="240" w:after="120" w:line="276" w:lineRule="auto"/>
      </w:pPr>
      <w:r>
        <w:t>The few users that provided a response were in happy with the creation of one OTC ISIN at a time.</w:t>
      </w:r>
    </w:p>
    <w:p w14:paraId="44E6D3A0" w14:textId="3F716519" w:rsidR="00195103" w:rsidRDefault="00195103" w:rsidP="00944AAF">
      <w:pPr>
        <w:spacing w:before="240"/>
        <w:rPr>
          <w:u w:val="single"/>
        </w:rPr>
      </w:pPr>
      <w:r>
        <w:rPr>
          <w:u w:val="single"/>
        </w:rPr>
        <w:t>Analysis of Responses</w:t>
      </w:r>
    </w:p>
    <w:p w14:paraId="33342E9B" w14:textId="65A85426" w:rsidR="008C1C7E" w:rsidRDefault="008C1C7E" w:rsidP="00195103">
      <w:r>
        <w:lastRenderedPageBreak/>
        <w:t xml:space="preserve">The DSB notes the low number of respondents but is also mindful that both respondents were </w:t>
      </w:r>
      <w:r w:rsidR="00651A5B">
        <w:t xml:space="preserve">not </w:t>
      </w:r>
      <w:r>
        <w:t>in favour of investigating the implementation of a bulk ISIN creation service</w:t>
      </w:r>
      <w:r w:rsidR="00651A5B">
        <w:t>.</w:t>
      </w:r>
    </w:p>
    <w:p w14:paraId="40806017" w14:textId="3F2347DF" w:rsidR="00195103" w:rsidRDefault="008C1C7E" w:rsidP="00195103">
      <w:pPr>
        <w:rPr>
          <w:u w:val="single"/>
        </w:rPr>
      </w:pPr>
      <w:r>
        <w:t>However, the TAC in its 18 June meeting formed the view that DSB users should be guided to the DSB’s API service where high volume activity was anticipated. In the light of the TAC’s views and t</w:t>
      </w:r>
      <w:r w:rsidR="00195103">
        <w:t>he receipt of only 2 respondents</w:t>
      </w:r>
      <w:r>
        <w:t>, the DSB</w:t>
      </w:r>
      <w:r w:rsidR="00195103">
        <w:t xml:space="preserve"> does not </w:t>
      </w:r>
      <w:r>
        <w:t xml:space="preserve">believe there is sufficient </w:t>
      </w:r>
      <w:r w:rsidR="00195103">
        <w:t>justif</w:t>
      </w:r>
      <w:r>
        <w:t>ication</w:t>
      </w:r>
      <w:r w:rsidR="00195103">
        <w:t xml:space="preserve"> </w:t>
      </w:r>
      <w:r>
        <w:t xml:space="preserve">to </w:t>
      </w:r>
      <w:r w:rsidR="00195103">
        <w:t xml:space="preserve">focus on </w:t>
      </w:r>
      <w:r>
        <w:t xml:space="preserve">bulk </w:t>
      </w:r>
      <w:r w:rsidR="00195103">
        <w:t>ISIN creation within the DSB’s cost recovery framework.</w:t>
      </w:r>
    </w:p>
    <w:p w14:paraId="665186CD" w14:textId="2652C642" w:rsidR="00195103" w:rsidRDefault="00195103" w:rsidP="00195103">
      <w:pPr>
        <w:rPr>
          <w:u w:val="single"/>
        </w:rPr>
      </w:pPr>
      <w:r>
        <w:rPr>
          <w:u w:val="single"/>
        </w:rPr>
        <w:t>DSB Proposed Next Steps</w:t>
      </w:r>
    </w:p>
    <w:p w14:paraId="39AE5AE7" w14:textId="4E2BECE4" w:rsidR="00195103" w:rsidRDefault="00195103" w:rsidP="00195103">
      <w:pPr>
        <w:rPr>
          <w:u w:val="single"/>
        </w:rPr>
      </w:pPr>
      <w:r w:rsidRPr="00195103">
        <w:rPr>
          <w:rStyle w:val="eop"/>
          <w:rFonts w:ascii="Calibri" w:eastAsiaTheme="majorEastAsia" w:hAnsi="Calibri" w:cs="Calibri"/>
        </w:rPr>
        <w:t>No further action to be taken.</w:t>
      </w:r>
      <w:r w:rsidRPr="00BB1525">
        <w:rPr>
          <w:noProof/>
          <w:lang w:eastAsia="en-GB"/>
        </w:rPr>
        <mc:AlternateContent>
          <mc:Choice Requires="wps">
            <w:drawing>
              <wp:anchor distT="45720" distB="45720" distL="114300" distR="114300" simplePos="0" relativeHeight="251795456" behindDoc="1" locked="0" layoutInCell="1" allowOverlap="1" wp14:anchorId="0AF7FFCE" wp14:editId="2B591C74">
                <wp:simplePos x="0" y="0"/>
                <wp:positionH relativeFrom="margin">
                  <wp:align>right</wp:align>
                </wp:positionH>
                <wp:positionV relativeFrom="paragraph">
                  <wp:posOffset>388730</wp:posOffset>
                </wp:positionV>
                <wp:extent cx="5716905" cy="1404620"/>
                <wp:effectExtent l="0" t="0" r="17145" b="27305"/>
                <wp:wrapTight wrapText="bothSides">
                  <wp:wrapPolygon edited="0">
                    <wp:start x="0" y="0"/>
                    <wp:lineTo x="0" y="21940"/>
                    <wp:lineTo x="21593" y="21940"/>
                    <wp:lineTo x="21593"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564D368" w14:textId="0B3FD0D8" w:rsidR="00D52BA4" w:rsidRDefault="00D52BA4" w:rsidP="00195103">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16</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to</w:t>
                            </w:r>
                            <w:r>
                              <w:rPr>
                                <w:rStyle w:val="eop"/>
                                <w:rFonts w:ascii="Calibri" w:eastAsiaTheme="majorEastAsia" w:hAnsi="Calibri" w:cs="Calibri"/>
                                <w:sz w:val="22"/>
                                <w:szCs w:val="22"/>
                              </w:rPr>
                              <w:t xml:space="preserve"> drop further analysis on bulk ISIN creation?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F7FFCE" id="Text Box 41" o:spid="_x0000_s1058" type="#_x0000_t202" style="position:absolute;margin-left:398.95pt;margin-top:30.6pt;width:450.15pt;height:110.6pt;z-index:-251521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">
                <v:textbox style="mso-fit-shape-to-text:t">
                  <w:txbxContent>
                    <w:p w14:paraId="7564D368" w14:textId="0B3FD0D8" w:rsidR="00D52BA4" w:rsidRDefault="00D52BA4" w:rsidP="00195103">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16</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1966FE">
                        <w:rPr>
                          <w:rStyle w:val="eop"/>
                          <w:rFonts w:ascii="Calibri" w:eastAsiaTheme="majorEastAsia" w:hAnsi="Calibri" w:cs="Calibri"/>
                          <w:sz w:val="22"/>
                          <w:szCs w:val="22"/>
                        </w:rPr>
                        <w:t>to</w:t>
                      </w:r>
                      <w:r>
                        <w:rPr>
                          <w:rStyle w:val="eop"/>
                          <w:rFonts w:ascii="Calibri" w:eastAsiaTheme="majorEastAsia" w:hAnsi="Calibri" w:cs="Calibri"/>
                          <w:sz w:val="22"/>
                          <w:szCs w:val="22"/>
                        </w:rPr>
                        <w:t xml:space="preserve"> drop further analysis on bulk ISIN creation?</w:t>
                      </w:r>
                    </w:p>
                  </w:txbxContent>
                </v:textbox>
                <w10:wrap type="tight" anchorx="margin"/>
              </v:shape>
            </w:pict>
          </mc:Fallback>
        </mc:AlternateContent>
      </w:r>
    </w:p>
    <w:p w14:paraId="36A4CAED" w14:textId="190A350E" w:rsidR="00C52E5B" w:rsidRPr="00DA7FD4" w:rsidRDefault="00C52E5B">
      <w:pPr>
        <w:rPr>
          <w:lang w:eastAsia="en-GB"/>
        </w:rPr>
      </w:pPr>
      <w:bookmarkStart w:id="90" w:name="_Toc13083202"/>
      <w:bookmarkStart w:id="91" w:name="_Toc13087147"/>
      <w:bookmarkStart w:id="92" w:name="_Toc13140377"/>
      <w:bookmarkStart w:id="93" w:name="_Toc13087148"/>
      <w:bookmarkEnd w:id="90"/>
      <w:bookmarkEnd w:id="91"/>
      <w:bookmarkEnd w:id="92"/>
    </w:p>
    <w:bookmarkStart w:id="94" w:name="_Ref13077365"/>
    <w:bookmarkStart w:id="95" w:name="_Toc13157234"/>
    <w:p w14:paraId="61E92470" w14:textId="78E5AC75" w:rsidR="00141B7E" w:rsidRDefault="004B24C2" w:rsidP="00141B7E">
      <w:pPr>
        <w:pStyle w:val="Heading3"/>
      </w:pPr>
      <w:r>
        <w:rPr>
          <w:noProof/>
          <w:lang w:eastAsia="en-GB"/>
        </w:rPr>
        <mc:AlternateContent>
          <mc:Choice Requires="wps">
            <w:drawing>
              <wp:anchor distT="45720" distB="45720" distL="114300" distR="114300" simplePos="0" relativeHeight="251918336" behindDoc="0" locked="0" layoutInCell="1" allowOverlap="1" wp14:anchorId="6D433812" wp14:editId="1E160323">
                <wp:simplePos x="0" y="0"/>
                <wp:positionH relativeFrom="margin">
                  <wp:align>left</wp:align>
                </wp:positionH>
                <wp:positionV relativeFrom="paragraph">
                  <wp:posOffset>275953</wp:posOffset>
                </wp:positionV>
                <wp:extent cx="5716905" cy="1404620"/>
                <wp:effectExtent l="0" t="0" r="17145" b="1397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76108B4" w14:textId="0AA1A166" w:rsidR="00D52BA4" w:rsidRPr="00195103" w:rsidRDefault="00D52BA4" w:rsidP="004B24C2">
                            <w:r>
                              <w:rPr>
                                <w:rStyle w:val="normaltextrun"/>
                                <w:rFonts w:ascii="Calibri" w:hAnsi="Calibri" w:cs="Calibri"/>
                                <w:b/>
                                <w:bCs/>
                                <w:color w:val="000000"/>
                              </w:rPr>
                              <w:t xml:space="preserve">CP1 Question: </w:t>
                            </w:r>
                            <w:r w:rsidRPr="00B81F55">
                              <w:rPr>
                                <w:rStyle w:val="normaltextrun"/>
                                <w:rFonts w:ascii="Calibri" w:hAnsi="Calibri" w:cs="Calibri"/>
                                <w:color w:val="000000"/>
                              </w:rPr>
                              <w:t>The DSB currently provides product documentation (attributes, enumerated values, normalization rules, indices, etc.) across several pdf documents that are available to download through the DSB website. Do you believe that making this information available through a searchable on-line utility would be of benefit to the user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33812" id="_x0000_s1059" type="#_x0000_t202" style="position:absolute;left:0;text-align:left;margin-left:0;margin-top:21.75pt;width:450.15pt;height:110.6pt;z-index:251918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">
                <v:textbox style="mso-fit-shape-to-text:t">
                  <w:txbxContent>
                    <w:p w14:paraId="276108B4" w14:textId="0AA1A166" w:rsidR="00D52BA4" w:rsidRPr="00195103" w:rsidRDefault="00D52BA4" w:rsidP="004B24C2">
                      <w:r>
                        <w:rPr>
                          <w:rStyle w:val="normaltextrun"/>
                          <w:rFonts w:ascii="Calibri" w:hAnsi="Calibri" w:cs="Calibri"/>
                          <w:b/>
                          <w:bCs/>
                          <w:color w:val="000000"/>
                        </w:rPr>
                        <w:t xml:space="preserve">CP1 Question: </w:t>
                      </w:r>
                      <w:r w:rsidRPr="00B81F55">
                        <w:rPr>
                          <w:rStyle w:val="normaltextrun"/>
                          <w:rFonts w:ascii="Calibri" w:hAnsi="Calibri" w:cs="Calibri"/>
                          <w:color w:val="000000"/>
                        </w:rPr>
                        <w:t>The DSB currently provides product documentation (attributes, enumerated values, normalization rules, indices, etc.) across several pdf documents that are available to download through the DSB website. Do you believe that making this information available through a searchable on-line utility would be of benefit to the user experience?</w:t>
                      </w:r>
                    </w:p>
                  </w:txbxContent>
                </v:textbox>
                <w10:wrap type="square" anchorx="margin"/>
              </v:shape>
            </w:pict>
          </mc:Fallback>
        </mc:AlternateContent>
      </w:r>
      <w:r w:rsidR="00141B7E">
        <w:t>Q</w:t>
      </w:r>
      <w:r w:rsidR="00B73C4C">
        <w:t>3</w:t>
      </w:r>
      <w:r w:rsidR="00141B7E">
        <w:t>.</w:t>
      </w:r>
      <w:r w:rsidR="00B73C4C">
        <w:t>2</w:t>
      </w:r>
      <w:r w:rsidR="00141B7E">
        <w:t xml:space="preserve"> – </w:t>
      </w:r>
      <w:r w:rsidR="00B73C4C">
        <w:t>SEARCHABLE ON-LINE UTILITY</w:t>
      </w:r>
      <w:bookmarkEnd w:id="93"/>
      <w:bookmarkEnd w:id="94"/>
      <w:bookmarkEnd w:id="95"/>
    </w:p>
    <w:p w14:paraId="4827BA59" w14:textId="79A2C5B5" w:rsidR="00141B7E" w:rsidRDefault="00141B7E" w:rsidP="00B73C4C">
      <w:pPr>
        <w:rPr>
          <w:u w:val="single"/>
        </w:rPr>
      </w:pPr>
      <w:r>
        <w:rPr>
          <w:u w:val="single"/>
        </w:rPr>
        <w:t>Industry Responses</w:t>
      </w:r>
    </w:p>
    <w:p w14:paraId="7F487DA4" w14:textId="4991F500" w:rsidR="00B73C4C" w:rsidRPr="00BB1C2A" w:rsidRDefault="00B73C4C" w:rsidP="00B73C4C">
      <w:pPr>
        <w:spacing w:before="60" w:after="240" w:line="276" w:lineRule="auto"/>
      </w:pPr>
      <w:r>
        <w:t>The responses received to the question posed in the first consultation are set out below</w:t>
      </w:r>
      <w:r w:rsidR="00436129">
        <w:t>:</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B73C4C" w:rsidRPr="00AF26B0" w14:paraId="365E65AE" w14:textId="77777777" w:rsidTr="00B73C4C">
        <w:trPr>
          <w:trHeight w:val="288"/>
        </w:trPr>
        <w:tc>
          <w:tcPr>
            <w:tcW w:w="2127" w:type="dxa"/>
            <w:vMerge w:val="restart"/>
            <w:shd w:val="clear" w:color="auto" w:fill="auto"/>
            <w:noWrap/>
            <w:vAlign w:val="center"/>
            <w:hideMark/>
          </w:tcPr>
          <w:p w14:paraId="414F67FE" w14:textId="77777777" w:rsidR="00B73C4C" w:rsidRPr="00AF26B0" w:rsidRDefault="00B73C4C" w:rsidP="00B73C4C">
            <w:pPr>
              <w:spacing w:after="0" w:line="276"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1E554CA6" w14:textId="77777777" w:rsidR="00B73C4C" w:rsidRPr="00AF26B0" w:rsidRDefault="00B73C4C" w:rsidP="00B73C4C">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496A39D2" w14:textId="77777777" w:rsidR="00B73C4C" w:rsidRPr="00AF26B0" w:rsidRDefault="00B73C4C" w:rsidP="00B73C4C">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No</w:t>
            </w:r>
          </w:p>
        </w:tc>
      </w:tr>
      <w:tr w:rsidR="00B73C4C" w:rsidRPr="00AF26B0" w14:paraId="3241DAEE" w14:textId="77777777" w:rsidTr="00B73C4C">
        <w:trPr>
          <w:trHeight w:val="288"/>
        </w:trPr>
        <w:tc>
          <w:tcPr>
            <w:tcW w:w="2127" w:type="dxa"/>
            <w:vMerge/>
            <w:vAlign w:val="center"/>
            <w:hideMark/>
          </w:tcPr>
          <w:p w14:paraId="5E6F846C" w14:textId="77777777" w:rsidR="00B73C4C" w:rsidRPr="00AF26B0" w:rsidRDefault="00B73C4C" w:rsidP="00B73C4C">
            <w:pPr>
              <w:spacing w:after="0" w:line="276" w:lineRule="auto"/>
              <w:rPr>
                <w:rFonts w:ascii="Times New Roman" w:eastAsia="Times New Roman" w:hAnsi="Times New Roman" w:cs="Times New Roman"/>
                <w:sz w:val="24"/>
                <w:szCs w:val="24"/>
                <w:lang w:eastAsia="en-GB"/>
              </w:rPr>
            </w:pPr>
          </w:p>
        </w:tc>
        <w:tc>
          <w:tcPr>
            <w:tcW w:w="289" w:type="dxa"/>
            <w:shd w:val="clear" w:color="000000" w:fill="63BE7B"/>
            <w:noWrap/>
            <w:vAlign w:val="center"/>
            <w:hideMark/>
          </w:tcPr>
          <w:p w14:paraId="7738169F" w14:textId="77777777" w:rsidR="00B73C4C" w:rsidRPr="00AF26B0" w:rsidRDefault="00B73C4C" w:rsidP="00B73C4C">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9</w:t>
            </w:r>
          </w:p>
        </w:tc>
        <w:tc>
          <w:tcPr>
            <w:tcW w:w="656" w:type="dxa"/>
            <w:shd w:val="clear" w:color="000000" w:fill="FCB77A"/>
            <w:noWrap/>
            <w:vAlign w:val="center"/>
            <w:hideMark/>
          </w:tcPr>
          <w:p w14:paraId="3DC8C779" w14:textId="77777777" w:rsidR="00B73C4C" w:rsidRPr="00AF26B0" w:rsidRDefault="00B73C4C" w:rsidP="00B73C4C">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3</w:t>
            </w:r>
          </w:p>
        </w:tc>
      </w:tr>
      <w:tr w:rsidR="00B73C4C" w:rsidRPr="00AF26B0" w14:paraId="0FDD9586" w14:textId="77777777" w:rsidTr="00B73C4C">
        <w:trPr>
          <w:trHeight w:val="288"/>
        </w:trPr>
        <w:tc>
          <w:tcPr>
            <w:tcW w:w="2127" w:type="dxa"/>
            <w:shd w:val="clear" w:color="auto" w:fill="auto"/>
            <w:noWrap/>
            <w:vAlign w:val="center"/>
            <w:hideMark/>
          </w:tcPr>
          <w:p w14:paraId="2378A2E5" w14:textId="77777777" w:rsidR="00B73C4C" w:rsidRPr="00AF26B0" w:rsidRDefault="00B73C4C" w:rsidP="00B73C4C">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660DFB23" w14:textId="77777777" w:rsidR="00B73C4C" w:rsidRPr="00AF26B0" w:rsidRDefault="00B73C4C" w:rsidP="00B73C4C">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416866A6" w14:textId="77777777" w:rsidR="00B73C4C" w:rsidRPr="00AF26B0" w:rsidRDefault="00B73C4C" w:rsidP="00B73C4C">
            <w:pPr>
              <w:spacing w:after="0" w:line="276" w:lineRule="auto"/>
              <w:jc w:val="center"/>
              <w:rPr>
                <w:rFonts w:ascii="Calibri" w:eastAsia="Times New Roman" w:hAnsi="Calibri" w:cs="Calibri"/>
                <w:color w:val="FFFFFF"/>
                <w:sz w:val="21"/>
                <w:szCs w:val="21"/>
                <w:lang w:eastAsia="en-GB"/>
              </w:rPr>
            </w:pPr>
            <w:r w:rsidRPr="00FA4DA7">
              <w:rPr>
                <w:rFonts w:ascii="Calibri" w:eastAsia="Times New Roman" w:hAnsi="Calibri" w:cs="Calibri"/>
                <w:color w:val="DEEAF6" w:themeColor="accent1" w:themeTint="33"/>
                <w:sz w:val="21"/>
                <w:szCs w:val="21"/>
                <w:lang w:eastAsia="en-GB"/>
              </w:rPr>
              <w:t>0</w:t>
            </w:r>
          </w:p>
        </w:tc>
      </w:tr>
      <w:tr w:rsidR="00B73C4C" w:rsidRPr="00AF26B0" w14:paraId="05700E50" w14:textId="77777777" w:rsidTr="00B73C4C">
        <w:trPr>
          <w:trHeight w:val="288"/>
        </w:trPr>
        <w:tc>
          <w:tcPr>
            <w:tcW w:w="2127" w:type="dxa"/>
            <w:shd w:val="clear" w:color="auto" w:fill="auto"/>
            <w:noWrap/>
            <w:vAlign w:val="center"/>
            <w:hideMark/>
          </w:tcPr>
          <w:p w14:paraId="42BDFDC3" w14:textId="77777777" w:rsidR="00B73C4C" w:rsidRPr="00AF26B0" w:rsidRDefault="00B73C4C" w:rsidP="00B73C4C">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0DBCF1A4" w14:textId="77777777" w:rsidR="00B73C4C" w:rsidRPr="00AF26B0" w:rsidRDefault="00B73C4C" w:rsidP="00B73C4C">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7</w:t>
            </w:r>
          </w:p>
        </w:tc>
        <w:tc>
          <w:tcPr>
            <w:tcW w:w="656" w:type="dxa"/>
            <w:shd w:val="clear" w:color="auto" w:fill="auto"/>
            <w:noWrap/>
            <w:vAlign w:val="center"/>
            <w:hideMark/>
          </w:tcPr>
          <w:p w14:paraId="248EE537" w14:textId="77777777" w:rsidR="00B73C4C" w:rsidRPr="00AF26B0" w:rsidRDefault="00B73C4C" w:rsidP="00B73C4C">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3</w:t>
            </w:r>
          </w:p>
        </w:tc>
      </w:tr>
    </w:tbl>
    <w:p w14:paraId="1869F664" w14:textId="12656921" w:rsidR="00B73C4C" w:rsidRDefault="00B73C4C" w:rsidP="00B73C4C">
      <w:pPr>
        <w:spacing w:before="240" w:line="276" w:lineRule="auto"/>
      </w:pPr>
      <w:r>
        <w:t>Respondents were broadly in favour of having access to an on-line searchable</w:t>
      </w:r>
      <w:r w:rsidR="00660B0D">
        <w:t xml:space="preserve"> utility</w:t>
      </w:r>
      <w:r>
        <w:t xml:space="preserve">. </w:t>
      </w:r>
    </w:p>
    <w:p w14:paraId="341E1EE3" w14:textId="77777777" w:rsidR="00B73C4C" w:rsidRDefault="00B73C4C" w:rsidP="00B73C4C">
      <w:pPr>
        <w:spacing w:line="276" w:lineRule="auto"/>
      </w:pPr>
      <w:r>
        <w:t>Those that supported the idea of a searchable online utility saw the following benefits if they could be delivered in a cost-effective manner:</w:t>
      </w:r>
    </w:p>
    <w:p w14:paraId="0293CC07" w14:textId="77777777" w:rsidR="00B73C4C" w:rsidRDefault="00B73C4C" w:rsidP="00B73C4C">
      <w:pPr>
        <w:pStyle w:val="ListParagraph"/>
        <w:numPr>
          <w:ilvl w:val="0"/>
          <w:numId w:val="5"/>
        </w:numPr>
        <w:spacing w:after="120" w:line="276" w:lineRule="auto"/>
      </w:pPr>
      <w:r>
        <w:t xml:space="preserve">Identifying which </w:t>
      </w:r>
      <w:r w:rsidRPr="00943EFF">
        <w:t>templates to use for specific products</w:t>
      </w:r>
    </w:p>
    <w:p w14:paraId="7B06C8AF" w14:textId="77777777" w:rsidR="00B73C4C" w:rsidRDefault="00B73C4C" w:rsidP="00B73C4C">
      <w:pPr>
        <w:pStyle w:val="ListParagraph"/>
        <w:numPr>
          <w:ilvl w:val="0"/>
          <w:numId w:val="5"/>
        </w:numPr>
        <w:spacing w:after="120" w:line="276" w:lineRule="auto"/>
      </w:pPr>
      <w:r w:rsidRPr="00AC23BD">
        <w:t>Simple search by parameters and reference rates/indices</w:t>
      </w:r>
    </w:p>
    <w:p w14:paraId="4E4DDEDB" w14:textId="2CA824A1" w:rsidR="00B73C4C" w:rsidRDefault="00B73C4C" w:rsidP="00B73C4C">
      <w:pPr>
        <w:pStyle w:val="ListParagraph"/>
        <w:numPr>
          <w:ilvl w:val="0"/>
          <w:numId w:val="5"/>
        </w:numPr>
        <w:spacing w:after="120" w:line="276" w:lineRule="auto"/>
      </w:pPr>
      <w:r>
        <w:t xml:space="preserve">A central database for all DSB product attributes, enumerated values and normalization rules </w:t>
      </w:r>
    </w:p>
    <w:p w14:paraId="1C6B5D17" w14:textId="77777777" w:rsidR="00B73C4C" w:rsidRDefault="00B73C4C" w:rsidP="00B73C4C">
      <w:pPr>
        <w:pStyle w:val="ListParagraph"/>
        <w:numPr>
          <w:ilvl w:val="0"/>
          <w:numId w:val="5"/>
        </w:numPr>
        <w:spacing w:after="120" w:line="276" w:lineRule="auto"/>
      </w:pPr>
      <w:r>
        <w:t>Allow for ease of comparison between RTS-23 and DSB product definitions</w:t>
      </w:r>
    </w:p>
    <w:p w14:paraId="7DD967A4" w14:textId="5DDEF38D" w:rsidR="00B73C4C" w:rsidRDefault="00B73C4C" w:rsidP="00B73C4C">
      <w:pPr>
        <w:spacing w:after="60" w:line="276" w:lineRule="auto"/>
        <w:rPr>
          <w:b/>
          <w:bCs/>
          <w:u w:val="single"/>
        </w:rPr>
      </w:pPr>
      <w:r>
        <w:t xml:space="preserve">Those against the idea noted that the </w:t>
      </w:r>
      <w:r w:rsidRPr="00B064F1">
        <w:t xml:space="preserve">existing approach to documentation serves its intended purpose, provided it </w:t>
      </w:r>
      <w:r>
        <w:t xml:space="preserve">remains continually </w:t>
      </w:r>
      <w:r w:rsidRPr="00B064F1">
        <w:t>updated.</w:t>
      </w:r>
    </w:p>
    <w:p w14:paraId="77380F1E" w14:textId="77777777" w:rsidR="004B24C2" w:rsidRDefault="004B24C2" w:rsidP="00944AAF">
      <w:pPr>
        <w:spacing w:before="240"/>
        <w:rPr>
          <w:u w:val="single"/>
        </w:rPr>
      </w:pPr>
    </w:p>
    <w:p w14:paraId="3724C41F" w14:textId="63F6340F" w:rsidR="00141B7E" w:rsidRDefault="00141B7E" w:rsidP="00944AAF">
      <w:pPr>
        <w:spacing w:before="240"/>
        <w:rPr>
          <w:u w:val="single"/>
        </w:rPr>
      </w:pPr>
      <w:r>
        <w:rPr>
          <w:u w:val="single"/>
        </w:rPr>
        <w:lastRenderedPageBreak/>
        <w:t>Analysis of Responses</w:t>
      </w:r>
    </w:p>
    <w:p w14:paraId="76C4C842" w14:textId="7AEBFEAE" w:rsidR="00B73C4C" w:rsidRDefault="00436129" w:rsidP="00B73C4C">
      <w:pPr>
        <w:spacing w:after="60" w:line="276" w:lineRule="auto"/>
      </w:pPr>
      <w:r>
        <w:t xml:space="preserve">There is evidence of interest for such a utility to simplify user access to DSB information, but any decision to progress this work should be mindful that existing documentation already provides the same information albeit in a less accessible manner. </w:t>
      </w:r>
    </w:p>
    <w:p w14:paraId="1884A04C" w14:textId="79C1D014" w:rsidR="00141B7E" w:rsidRDefault="00141B7E" w:rsidP="00944AAF">
      <w:pPr>
        <w:spacing w:before="240"/>
        <w:rPr>
          <w:u w:val="single"/>
        </w:rPr>
      </w:pPr>
      <w:r>
        <w:rPr>
          <w:u w:val="single"/>
        </w:rPr>
        <w:t>DSB Proposed Next Steps</w:t>
      </w:r>
    </w:p>
    <w:p w14:paraId="5D5709B9" w14:textId="38CD9A14" w:rsidR="00436129" w:rsidRDefault="0061279A" w:rsidP="00436129">
      <w:pPr>
        <w:spacing w:after="60" w:line="276" w:lineRule="auto"/>
      </w:pPr>
      <w:r w:rsidRPr="00BB1525">
        <w:rPr>
          <w:noProof/>
          <w:lang w:eastAsia="en-GB"/>
        </w:rPr>
        <mc:AlternateContent>
          <mc:Choice Requires="wps">
            <w:drawing>
              <wp:anchor distT="45720" distB="45720" distL="114300" distR="114300" simplePos="0" relativeHeight="251510784" behindDoc="1" locked="0" layoutInCell="1" allowOverlap="1" wp14:anchorId="6946D34E" wp14:editId="24E12468">
                <wp:simplePos x="0" y="0"/>
                <wp:positionH relativeFrom="margin">
                  <wp:posOffset>-1270</wp:posOffset>
                </wp:positionH>
                <wp:positionV relativeFrom="paragraph">
                  <wp:posOffset>1000760</wp:posOffset>
                </wp:positionV>
                <wp:extent cx="5716905" cy="1404620"/>
                <wp:effectExtent l="0" t="0" r="17145" b="21590"/>
                <wp:wrapTight wrapText="bothSides">
                  <wp:wrapPolygon edited="0">
                    <wp:start x="0" y="0"/>
                    <wp:lineTo x="0" y="21676"/>
                    <wp:lineTo x="21593" y="21676"/>
                    <wp:lineTo x="21593"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B63FEBB" w14:textId="2A3B99DB" w:rsidR="00D52BA4" w:rsidRDefault="00D52BA4" w:rsidP="00141B7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17</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B73C4C">
                              <w:rPr>
                                <w:rStyle w:val="eop"/>
                                <w:rFonts w:ascii="Calibri" w:eastAsiaTheme="majorEastAsia" w:hAnsi="Calibri" w:cs="Calibri"/>
                                <w:sz w:val="22"/>
                                <w:szCs w:val="22"/>
                              </w:rPr>
                              <w:t>Do you concur with the DSB’s proposa</w:t>
                            </w:r>
                            <w:r>
                              <w:rPr>
                                <w:rStyle w:val="eop"/>
                                <w:rFonts w:ascii="Calibri" w:eastAsiaTheme="majorEastAsia" w:hAnsi="Calibri" w:cs="Calibri"/>
                                <w:sz w:val="22"/>
                                <w:szCs w:val="22"/>
                              </w:rPr>
                              <w:t xml:space="preserve">l </w:t>
                            </w:r>
                            <w:r w:rsidRPr="00B73C4C">
                              <w:rPr>
                                <w:rStyle w:val="eop"/>
                                <w:rFonts w:ascii="Calibri" w:eastAsiaTheme="majorEastAsia" w:hAnsi="Calibri" w:cs="Calibri"/>
                                <w:sz w:val="22"/>
                                <w:szCs w:val="22"/>
                              </w:rPr>
                              <w:t>to work with the TAC and PC to agree an appropriate design and functionality</w:t>
                            </w:r>
                            <w:r>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as part of its business as usual</w:t>
                            </w:r>
                            <w:r>
                              <w:rPr>
                                <w:rStyle w:val="eop"/>
                                <w:rFonts w:ascii="Calibri" w:eastAsiaTheme="majorEastAsia" w:hAnsi="Calibri" w:cs="Calibri"/>
                                <w:sz w:val="22"/>
                                <w:szCs w:val="22"/>
                              </w:rPr>
                              <w:t xml:space="preserve"> operations</w:t>
                            </w:r>
                            <w:r w:rsidRPr="00B73C4C">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46D34E" id="Text Box 16" o:spid="_x0000_s1060" type="#_x0000_t202" style="position:absolute;margin-left:-.1pt;margin-top:78.8pt;width:450.15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">
                <v:textbox style="mso-fit-shape-to-text:t">
                  <w:txbxContent>
                    <w:p w14:paraId="5B63FEBB" w14:textId="2A3B99DB" w:rsidR="00D52BA4" w:rsidRDefault="00D52BA4" w:rsidP="00141B7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17</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B73C4C">
                        <w:rPr>
                          <w:rStyle w:val="eop"/>
                          <w:rFonts w:ascii="Calibri" w:eastAsiaTheme="majorEastAsia" w:hAnsi="Calibri" w:cs="Calibri"/>
                          <w:sz w:val="22"/>
                          <w:szCs w:val="22"/>
                        </w:rPr>
                        <w:t>Do you concur with the DSB’s proposa</w:t>
                      </w:r>
                      <w:r>
                        <w:rPr>
                          <w:rStyle w:val="eop"/>
                          <w:rFonts w:ascii="Calibri" w:eastAsiaTheme="majorEastAsia" w:hAnsi="Calibri" w:cs="Calibri"/>
                          <w:sz w:val="22"/>
                          <w:szCs w:val="22"/>
                        </w:rPr>
                        <w:t xml:space="preserve">l </w:t>
                      </w:r>
                      <w:r w:rsidRPr="00B73C4C">
                        <w:rPr>
                          <w:rStyle w:val="eop"/>
                          <w:rFonts w:ascii="Calibri" w:eastAsiaTheme="majorEastAsia" w:hAnsi="Calibri" w:cs="Calibri"/>
                          <w:sz w:val="22"/>
                          <w:szCs w:val="22"/>
                        </w:rPr>
                        <w:t>to work with the TAC and PC to agree an appropriate design and functionality</w:t>
                      </w:r>
                      <w:r>
                        <w:rPr>
                          <w:rStyle w:val="eop"/>
                          <w:rFonts w:ascii="Calibri" w:eastAsiaTheme="majorEastAsia" w:hAnsi="Calibri" w:cs="Calibri"/>
                          <w:sz w:val="22"/>
                          <w:szCs w:val="22"/>
                        </w:rPr>
                        <w:t xml:space="preserve"> </w:t>
                      </w:r>
                      <w:r w:rsidRPr="00136C99">
                        <w:rPr>
                          <w:rStyle w:val="eop"/>
                          <w:rFonts w:ascii="Calibri" w:eastAsiaTheme="majorEastAsia" w:hAnsi="Calibri" w:cs="Calibri"/>
                          <w:sz w:val="22"/>
                          <w:szCs w:val="22"/>
                        </w:rPr>
                        <w:t>as part of its business as usual</w:t>
                      </w:r>
                      <w:r>
                        <w:rPr>
                          <w:rStyle w:val="eop"/>
                          <w:rFonts w:ascii="Calibri" w:eastAsiaTheme="majorEastAsia" w:hAnsi="Calibri" w:cs="Calibri"/>
                          <w:sz w:val="22"/>
                          <w:szCs w:val="22"/>
                        </w:rPr>
                        <w:t xml:space="preserve"> operations</w:t>
                      </w:r>
                      <w:r w:rsidRPr="00B73C4C">
                        <w:rPr>
                          <w:rStyle w:val="eop"/>
                          <w:rFonts w:ascii="Calibri" w:eastAsiaTheme="majorEastAsia" w:hAnsi="Calibri" w:cs="Calibri"/>
                          <w:sz w:val="22"/>
                          <w:szCs w:val="22"/>
                        </w:rPr>
                        <w:t>?</w:t>
                      </w:r>
                    </w:p>
                  </w:txbxContent>
                </v:textbox>
                <w10:wrap type="tight" anchorx="margin"/>
              </v:shape>
            </w:pict>
          </mc:Fallback>
        </mc:AlternateContent>
      </w:r>
      <w:r w:rsidR="00436129">
        <w:t>The DSB proposes to work with the TAC and PC to agree an appropriate design and functionality</w:t>
      </w:r>
      <w:r w:rsidR="00C20735">
        <w:t>, alongside a cost and benefit analysis for inclusion in the DSB’s annual consultation in 2020</w:t>
      </w:r>
      <w:r w:rsidR="00436129">
        <w:t xml:space="preserve">. This </w:t>
      </w:r>
      <w:r w:rsidR="00C20735">
        <w:t xml:space="preserve">design and analysis </w:t>
      </w:r>
      <w:r w:rsidR="00436129">
        <w:t xml:space="preserve">effort to be undertaken </w:t>
      </w:r>
      <w:r w:rsidR="00436129">
        <w:rPr>
          <w:rStyle w:val="eop"/>
          <w:rFonts w:ascii="Calibri" w:eastAsiaTheme="majorEastAsia" w:hAnsi="Calibri" w:cs="Calibri"/>
        </w:rPr>
        <w:t xml:space="preserve">as part of the DSB’s business as usual resourcing </w:t>
      </w:r>
      <w:r w:rsidR="00436129">
        <w:t>and subject to PC and TAC prioritization.</w:t>
      </w:r>
    </w:p>
    <w:p w14:paraId="10F6DF26" w14:textId="00A24E80" w:rsidR="00195103" w:rsidRDefault="00195103" w:rsidP="00195103">
      <w:pPr>
        <w:rPr>
          <w:rFonts w:ascii="Calibri" w:eastAsia="Times New Roman" w:hAnsi="Calibri" w:cs="Calibri"/>
          <w:color w:val="000000"/>
          <w:lang w:eastAsia="en-GB"/>
        </w:rPr>
      </w:pPr>
    </w:p>
    <w:bookmarkStart w:id="96" w:name="_Ref13077371"/>
    <w:bookmarkStart w:id="97" w:name="_Ref13077780"/>
    <w:bookmarkStart w:id="98" w:name="_Toc13087149"/>
    <w:bookmarkStart w:id="99" w:name="_Toc13157235"/>
    <w:p w14:paraId="69DB6847" w14:textId="614C4411" w:rsidR="00195103" w:rsidRDefault="006063B2" w:rsidP="00195103">
      <w:pPr>
        <w:pStyle w:val="Heading3"/>
      </w:pPr>
      <w:r>
        <w:rPr>
          <w:noProof/>
          <w:lang w:eastAsia="en-GB"/>
        </w:rPr>
        <mc:AlternateContent>
          <mc:Choice Requires="wps">
            <w:drawing>
              <wp:anchor distT="45720" distB="45720" distL="114300" distR="114300" simplePos="0" relativeHeight="251804672" behindDoc="0" locked="0" layoutInCell="1" allowOverlap="1" wp14:anchorId="4069697B" wp14:editId="6C3E69EB">
                <wp:simplePos x="0" y="0"/>
                <wp:positionH relativeFrom="margin">
                  <wp:posOffset>-82053</wp:posOffset>
                </wp:positionH>
                <wp:positionV relativeFrom="paragraph">
                  <wp:posOffset>291244</wp:posOffset>
                </wp:positionV>
                <wp:extent cx="5716905" cy="1404620"/>
                <wp:effectExtent l="0" t="0" r="17145" b="2730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E77F52B" w14:textId="7B1D5C07" w:rsidR="00D52BA4" w:rsidRDefault="00D52BA4" w:rsidP="00195103">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 xml:space="preserve">CP1 </w:t>
                            </w:r>
                            <w:r>
                              <w:rPr>
                                <w:rStyle w:val="normaltextrun"/>
                                <w:rFonts w:ascii="Calibri" w:hAnsi="Calibri" w:cs="Calibri"/>
                                <w:b/>
                                <w:color w:val="000000"/>
                                <w:sz w:val="22"/>
                                <w:szCs w:val="22"/>
                              </w:rPr>
                              <w:t>Question</w:t>
                            </w:r>
                            <w:r w:rsidRPr="00BB1525">
                              <w:rPr>
                                <w:rStyle w:val="normaltextrun"/>
                                <w:rFonts w:ascii="Calibri" w:hAnsi="Calibri" w:cs="Calibri"/>
                                <w:b/>
                                <w:color w:val="000000"/>
                                <w:sz w:val="22"/>
                                <w:szCs w:val="22"/>
                              </w:rPr>
                              <w:t>:</w:t>
                            </w:r>
                            <w:r>
                              <w:rPr>
                                <w:rStyle w:val="normaltextrun"/>
                                <w:rFonts w:ascii="Calibri" w:hAnsi="Calibri" w:cs="Calibri"/>
                                <w:color w:val="000000"/>
                                <w:sz w:val="22"/>
                                <w:szCs w:val="22"/>
                              </w:rPr>
                              <w:t xml:space="preserve"> </w:t>
                            </w:r>
                            <w:r w:rsidRPr="002B71AA">
                              <w:rPr>
                                <w:rStyle w:val="normaltextrun"/>
                                <w:rFonts w:ascii="Calibri" w:hAnsi="Calibri" w:cs="Calibri"/>
                                <w:color w:val="000000"/>
                                <w:sz w:val="22"/>
                                <w:szCs w:val="22"/>
                              </w:rPr>
                              <w:t>Investigate the provision of phone support as part of baseline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9697B" id="_x0000_s1061" type="#_x0000_t202" style="position:absolute;left:0;text-align:left;margin-left:-6.45pt;margin-top:22.95pt;width:450.15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">
                <v:textbox style="mso-fit-shape-to-text:t">
                  <w:txbxContent>
                    <w:p w14:paraId="6E77F52B" w14:textId="7B1D5C07" w:rsidR="00D52BA4" w:rsidRDefault="00D52BA4" w:rsidP="00195103">
                      <w:pPr>
                        <w:pStyle w:val="paragraph"/>
                        <w:spacing w:before="240" w:beforeAutospacing="0" w:after="120" w:afterAutospacing="0" w:line="276" w:lineRule="auto"/>
                        <w:textAlignment w:val="baseline"/>
                      </w:pPr>
                      <w:r w:rsidRPr="00BB1525">
                        <w:rPr>
                          <w:rStyle w:val="normaltextrun"/>
                          <w:rFonts w:ascii="Calibri" w:hAnsi="Calibri" w:cs="Calibri"/>
                          <w:b/>
                          <w:color w:val="000000"/>
                          <w:sz w:val="22"/>
                          <w:szCs w:val="22"/>
                        </w:rPr>
                        <w:t xml:space="preserve">CP1 </w:t>
                      </w:r>
                      <w:r>
                        <w:rPr>
                          <w:rStyle w:val="normaltextrun"/>
                          <w:rFonts w:ascii="Calibri" w:hAnsi="Calibri" w:cs="Calibri"/>
                          <w:b/>
                          <w:color w:val="000000"/>
                          <w:sz w:val="22"/>
                          <w:szCs w:val="22"/>
                        </w:rPr>
                        <w:t>Question</w:t>
                      </w:r>
                      <w:r w:rsidRPr="00BB1525">
                        <w:rPr>
                          <w:rStyle w:val="normaltextrun"/>
                          <w:rFonts w:ascii="Calibri" w:hAnsi="Calibri" w:cs="Calibri"/>
                          <w:b/>
                          <w:color w:val="000000"/>
                          <w:sz w:val="22"/>
                          <w:szCs w:val="22"/>
                        </w:rPr>
                        <w:t>:</w:t>
                      </w:r>
                      <w:r>
                        <w:rPr>
                          <w:rStyle w:val="normaltextrun"/>
                          <w:rFonts w:ascii="Calibri" w:hAnsi="Calibri" w:cs="Calibri"/>
                          <w:color w:val="000000"/>
                          <w:sz w:val="22"/>
                          <w:szCs w:val="22"/>
                        </w:rPr>
                        <w:t xml:space="preserve"> </w:t>
                      </w:r>
                      <w:r w:rsidRPr="002B71AA">
                        <w:rPr>
                          <w:rStyle w:val="normaltextrun"/>
                          <w:rFonts w:ascii="Calibri" w:hAnsi="Calibri" w:cs="Calibri"/>
                          <w:color w:val="000000"/>
                          <w:sz w:val="22"/>
                          <w:szCs w:val="22"/>
                        </w:rPr>
                        <w:t>Investigate the provision of phone support as part of baseline service?</w:t>
                      </w:r>
                    </w:p>
                  </w:txbxContent>
                </v:textbox>
                <w10:wrap type="square" anchorx="margin"/>
              </v:shape>
            </w:pict>
          </mc:Fallback>
        </mc:AlternateContent>
      </w:r>
      <w:r w:rsidR="00195103">
        <w:t xml:space="preserve">Q3.3 – </w:t>
      </w:r>
      <w:r w:rsidR="000A0492">
        <w:t>PHONE BASED SUPPORT</w:t>
      </w:r>
      <w:bookmarkEnd w:id="96"/>
      <w:bookmarkEnd w:id="97"/>
      <w:bookmarkEnd w:id="98"/>
      <w:bookmarkEnd w:id="99"/>
    </w:p>
    <w:p w14:paraId="213C63D5" w14:textId="0279AE20" w:rsidR="00195103" w:rsidRDefault="00195103" w:rsidP="00944AAF">
      <w:pPr>
        <w:spacing w:before="240"/>
        <w:rPr>
          <w:u w:val="single"/>
        </w:rPr>
      </w:pPr>
      <w:r>
        <w:rPr>
          <w:u w:val="single"/>
        </w:rPr>
        <w:t>Industry Responses</w:t>
      </w:r>
    </w:p>
    <w:p w14:paraId="0C47D6D1" w14:textId="77777777" w:rsidR="002B71AA" w:rsidRPr="00BB1C2A" w:rsidRDefault="002B71AA" w:rsidP="002B71AA">
      <w:pPr>
        <w:spacing w:before="60" w:after="240" w:line="276" w:lineRule="auto"/>
      </w:pPr>
      <w:r>
        <w:t xml:space="preserve"> The responses received to the question posed in the first consultation are set out below:</w:t>
      </w:r>
    </w:p>
    <w:tbl>
      <w:tblPr>
        <w:tblW w:w="3298"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2B71AA" w:rsidRPr="006B04DC" w14:paraId="15483614" w14:textId="77777777" w:rsidTr="002B71AA">
        <w:trPr>
          <w:trHeight w:val="288"/>
        </w:trPr>
        <w:tc>
          <w:tcPr>
            <w:tcW w:w="2127" w:type="dxa"/>
            <w:vMerge w:val="restart"/>
            <w:shd w:val="clear" w:color="auto" w:fill="auto"/>
            <w:noWrap/>
            <w:vAlign w:val="center"/>
            <w:hideMark/>
          </w:tcPr>
          <w:p w14:paraId="7223D82E" w14:textId="77777777" w:rsidR="002B71AA" w:rsidRPr="006B04DC" w:rsidRDefault="002B71AA" w:rsidP="00C47967">
            <w:pPr>
              <w:spacing w:after="0" w:line="276"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64294469" w14:textId="77777777" w:rsidR="002B71AA" w:rsidRPr="006B04DC" w:rsidRDefault="002B71AA" w:rsidP="00C47967">
            <w:pPr>
              <w:spacing w:after="0" w:line="276" w:lineRule="auto"/>
              <w:jc w:val="center"/>
              <w:rPr>
                <w:rFonts w:ascii="Calibri" w:eastAsia="Times New Roman" w:hAnsi="Calibri" w:cs="Calibri"/>
                <w:b/>
                <w:bCs/>
                <w:color w:val="000000"/>
                <w:sz w:val="21"/>
                <w:szCs w:val="21"/>
                <w:lang w:eastAsia="en-GB"/>
              </w:rPr>
            </w:pPr>
            <w:r w:rsidRPr="006B04DC">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1E3258F9" w14:textId="77777777" w:rsidR="002B71AA" w:rsidRPr="006B04DC" w:rsidRDefault="002B71AA" w:rsidP="00C47967">
            <w:pPr>
              <w:spacing w:after="0" w:line="276" w:lineRule="auto"/>
              <w:jc w:val="center"/>
              <w:rPr>
                <w:rFonts w:ascii="Calibri" w:eastAsia="Times New Roman" w:hAnsi="Calibri" w:cs="Calibri"/>
                <w:b/>
                <w:bCs/>
                <w:color w:val="000000"/>
                <w:sz w:val="21"/>
                <w:szCs w:val="21"/>
                <w:lang w:eastAsia="en-GB"/>
              </w:rPr>
            </w:pPr>
            <w:r w:rsidRPr="006B04DC">
              <w:rPr>
                <w:rFonts w:ascii="Calibri" w:eastAsia="Times New Roman" w:hAnsi="Calibri" w:cs="Calibri"/>
                <w:b/>
                <w:bCs/>
                <w:color w:val="000000"/>
                <w:sz w:val="21"/>
                <w:szCs w:val="21"/>
                <w:lang w:eastAsia="en-GB"/>
              </w:rPr>
              <w:t>No</w:t>
            </w:r>
          </w:p>
        </w:tc>
      </w:tr>
      <w:tr w:rsidR="002B71AA" w:rsidRPr="006B04DC" w14:paraId="1325D3CF" w14:textId="77777777" w:rsidTr="002B71AA">
        <w:trPr>
          <w:trHeight w:val="288"/>
        </w:trPr>
        <w:tc>
          <w:tcPr>
            <w:tcW w:w="2127" w:type="dxa"/>
            <w:vMerge/>
            <w:vAlign w:val="center"/>
            <w:hideMark/>
          </w:tcPr>
          <w:p w14:paraId="0E4F5B3C" w14:textId="77777777" w:rsidR="002B71AA" w:rsidRPr="006B04DC" w:rsidRDefault="002B71AA" w:rsidP="00C47967">
            <w:pPr>
              <w:spacing w:after="0" w:line="276" w:lineRule="auto"/>
              <w:rPr>
                <w:rFonts w:ascii="Times New Roman" w:eastAsia="Times New Roman" w:hAnsi="Times New Roman" w:cs="Times New Roman"/>
                <w:sz w:val="24"/>
                <w:szCs w:val="24"/>
                <w:lang w:eastAsia="en-GB"/>
              </w:rPr>
            </w:pPr>
          </w:p>
        </w:tc>
        <w:tc>
          <w:tcPr>
            <w:tcW w:w="515" w:type="dxa"/>
            <w:shd w:val="clear" w:color="000000" w:fill="63BE7B"/>
            <w:noWrap/>
            <w:vAlign w:val="center"/>
            <w:hideMark/>
          </w:tcPr>
          <w:p w14:paraId="156BC898" w14:textId="77777777" w:rsidR="002B71AA" w:rsidRPr="006B04DC" w:rsidRDefault="002B71AA" w:rsidP="00C47967">
            <w:pPr>
              <w:spacing w:after="0" w:line="276" w:lineRule="auto"/>
              <w:jc w:val="center"/>
              <w:rPr>
                <w:rFonts w:ascii="Calibri" w:eastAsia="Times New Roman" w:hAnsi="Calibri" w:cs="Calibri"/>
                <w:b/>
                <w:bCs/>
                <w:color w:val="000000"/>
                <w:sz w:val="21"/>
                <w:szCs w:val="21"/>
                <w:lang w:eastAsia="en-GB"/>
              </w:rPr>
            </w:pPr>
            <w:r w:rsidRPr="006B04DC">
              <w:rPr>
                <w:rFonts w:ascii="Calibri" w:eastAsia="Times New Roman" w:hAnsi="Calibri" w:cs="Calibri"/>
                <w:b/>
                <w:bCs/>
                <w:color w:val="000000"/>
                <w:sz w:val="21"/>
                <w:szCs w:val="21"/>
                <w:lang w:eastAsia="en-GB"/>
              </w:rPr>
              <w:t>7</w:t>
            </w:r>
          </w:p>
        </w:tc>
        <w:tc>
          <w:tcPr>
            <w:tcW w:w="656" w:type="dxa"/>
            <w:shd w:val="clear" w:color="000000" w:fill="FDD57F"/>
            <w:noWrap/>
            <w:vAlign w:val="center"/>
            <w:hideMark/>
          </w:tcPr>
          <w:p w14:paraId="62FB20BF" w14:textId="77777777" w:rsidR="002B71AA" w:rsidRPr="006B04DC" w:rsidRDefault="002B71AA" w:rsidP="00C47967">
            <w:pPr>
              <w:spacing w:after="0" w:line="276" w:lineRule="auto"/>
              <w:jc w:val="center"/>
              <w:rPr>
                <w:rFonts w:ascii="Calibri" w:eastAsia="Times New Roman" w:hAnsi="Calibri" w:cs="Calibri"/>
                <w:b/>
                <w:bCs/>
                <w:color w:val="000000"/>
                <w:sz w:val="21"/>
                <w:szCs w:val="21"/>
                <w:lang w:eastAsia="en-GB"/>
              </w:rPr>
            </w:pPr>
            <w:r w:rsidRPr="006B04DC">
              <w:rPr>
                <w:rFonts w:ascii="Calibri" w:eastAsia="Times New Roman" w:hAnsi="Calibri" w:cs="Calibri"/>
                <w:b/>
                <w:bCs/>
                <w:color w:val="000000"/>
                <w:sz w:val="21"/>
                <w:szCs w:val="21"/>
                <w:lang w:eastAsia="en-GB"/>
              </w:rPr>
              <w:t>5</w:t>
            </w:r>
          </w:p>
        </w:tc>
      </w:tr>
      <w:tr w:rsidR="002B71AA" w:rsidRPr="006B04DC" w14:paraId="202B313B" w14:textId="77777777" w:rsidTr="002B71AA">
        <w:trPr>
          <w:trHeight w:val="288"/>
        </w:trPr>
        <w:tc>
          <w:tcPr>
            <w:tcW w:w="2127" w:type="dxa"/>
            <w:shd w:val="clear" w:color="auto" w:fill="auto"/>
            <w:noWrap/>
            <w:vAlign w:val="center"/>
            <w:hideMark/>
          </w:tcPr>
          <w:p w14:paraId="2D3B606D" w14:textId="77777777" w:rsidR="002B71AA" w:rsidRPr="006B04DC" w:rsidRDefault="002B71AA" w:rsidP="00C47967">
            <w:pPr>
              <w:spacing w:after="0" w:line="276" w:lineRule="auto"/>
              <w:jc w:val="right"/>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Trade Associations</w:t>
            </w:r>
          </w:p>
        </w:tc>
        <w:tc>
          <w:tcPr>
            <w:tcW w:w="515" w:type="dxa"/>
            <w:shd w:val="clear" w:color="auto" w:fill="auto"/>
            <w:noWrap/>
            <w:vAlign w:val="center"/>
            <w:hideMark/>
          </w:tcPr>
          <w:p w14:paraId="59EF003A" w14:textId="77777777" w:rsidR="002B71AA" w:rsidRPr="006B04DC" w:rsidRDefault="002B71AA" w:rsidP="00C47967">
            <w:pPr>
              <w:spacing w:after="0" w:line="276" w:lineRule="auto"/>
              <w:jc w:val="center"/>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40E8879D" w14:textId="77777777" w:rsidR="002B71AA" w:rsidRPr="006B04DC" w:rsidRDefault="002B71AA" w:rsidP="00C47967">
            <w:pPr>
              <w:spacing w:after="0" w:line="276" w:lineRule="auto"/>
              <w:jc w:val="center"/>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1</w:t>
            </w:r>
          </w:p>
        </w:tc>
      </w:tr>
      <w:tr w:rsidR="002B71AA" w:rsidRPr="006B04DC" w14:paraId="50205B87" w14:textId="77777777" w:rsidTr="002B71AA">
        <w:trPr>
          <w:trHeight w:val="288"/>
        </w:trPr>
        <w:tc>
          <w:tcPr>
            <w:tcW w:w="2127" w:type="dxa"/>
            <w:shd w:val="clear" w:color="auto" w:fill="auto"/>
            <w:noWrap/>
            <w:vAlign w:val="center"/>
            <w:hideMark/>
          </w:tcPr>
          <w:p w14:paraId="340C71B0" w14:textId="77777777" w:rsidR="002B71AA" w:rsidRPr="006B04DC" w:rsidRDefault="002B71AA" w:rsidP="00C47967">
            <w:pPr>
              <w:spacing w:after="0" w:line="276" w:lineRule="auto"/>
              <w:jc w:val="right"/>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DSB Users</w:t>
            </w:r>
          </w:p>
        </w:tc>
        <w:tc>
          <w:tcPr>
            <w:tcW w:w="515" w:type="dxa"/>
            <w:shd w:val="clear" w:color="auto" w:fill="auto"/>
            <w:noWrap/>
            <w:vAlign w:val="center"/>
            <w:hideMark/>
          </w:tcPr>
          <w:p w14:paraId="5C722AD4" w14:textId="77777777" w:rsidR="002B71AA" w:rsidRPr="006B04DC" w:rsidRDefault="002B71AA" w:rsidP="00C47967">
            <w:pPr>
              <w:spacing w:after="0" w:line="276" w:lineRule="auto"/>
              <w:jc w:val="center"/>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22E1E235" w14:textId="77777777" w:rsidR="002B71AA" w:rsidRPr="006B04DC" w:rsidRDefault="002B71AA" w:rsidP="00C47967">
            <w:pPr>
              <w:spacing w:after="0" w:line="276" w:lineRule="auto"/>
              <w:jc w:val="center"/>
              <w:rPr>
                <w:rFonts w:ascii="Calibri" w:eastAsia="Times New Roman" w:hAnsi="Calibri" w:cs="Calibri"/>
                <w:color w:val="000000"/>
                <w:sz w:val="21"/>
                <w:szCs w:val="21"/>
                <w:lang w:eastAsia="en-GB"/>
              </w:rPr>
            </w:pPr>
            <w:r w:rsidRPr="006B04DC">
              <w:rPr>
                <w:rFonts w:ascii="Calibri" w:eastAsia="Times New Roman" w:hAnsi="Calibri" w:cs="Calibri"/>
                <w:color w:val="000000"/>
                <w:sz w:val="21"/>
                <w:szCs w:val="21"/>
                <w:lang w:eastAsia="en-GB"/>
              </w:rPr>
              <w:t>4</w:t>
            </w:r>
          </w:p>
        </w:tc>
      </w:tr>
    </w:tbl>
    <w:p w14:paraId="04642323" w14:textId="24C59390" w:rsidR="002B71AA" w:rsidRPr="002B71AA" w:rsidRDefault="002B71AA" w:rsidP="002B71AA">
      <w:pPr>
        <w:spacing w:before="240" w:after="240" w:line="276" w:lineRule="auto"/>
      </w:pPr>
      <w:r w:rsidRPr="002B71AA">
        <w:rPr>
          <w:bCs/>
        </w:rPr>
        <w:t xml:space="preserve">There was a </w:t>
      </w:r>
      <w:r>
        <w:rPr>
          <w:bCs/>
        </w:rPr>
        <w:t xml:space="preserve">mixed response to the proposal to provide phone support, with a small majority in favour of such a provision. A significant minority were not in favour, with primary focus being on costs, with some also noting that </w:t>
      </w:r>
      <w:r w:rsidR="00010801">
        <w:rPr>
          <w:bCs/>
        </w:rPr>
        <w:t xml:space="preserve">the major benefit of such a service would be primarily during a major incident and not during business </w:t>
      </w:r>
      <w:r w:rsidR="00010801">
        <w:t>as usual operations.</w:t>
      </w:r>
      <w:r w:rsidR="002106F9">
        <w:t xml:space="preserve"> </w:t>
      </w:r>
    </w:p>
    <w:p w14:paraId="24CE9568" w14:textId="0879B1F6" w:rsidR="00195103" w:rsidRDefault="00195103" w:rsidP="00195103">
      <w:pPr>
        <w:rPr>
          <w:u w:val="single"/>
        </w:rPr>
      </w:pPr>
      <w:r>
        <w:rPr>
          <w:u w:val="single"/>
        </w:rPr>
        <w:t>Analysis of Responses</w:t>
      </w:r>
    </w:p>
    <w:p w14:paraId="6B7FBF17" w14:textId="45E54695" w:rsidR="002B71AA" w:rsidRDefault="002B71AA" w:rsidP="00815088">
      <w:pPr>
        <w:spacing w:after="120" w:line="276" w:lineRule="auto"/>
      </w:pPr>
      <w:r>
        <w:t>The DSB’s current processes require that in</w:t>
      </w:r>
      <w:r w:rsidRPr="004F502A">
        <w:t xml:space="preserve"> the event of a DSB outage and/or incident confirmed as a </w:t>
      </w:r>
      <w:hyperlink r:id="rId25" w:history="1">
        <w:r w:rsidRPr="003A2388">
          <w:rPr>
            <w:rStyle w:val="Hyperlink"/>
          </w:rPr>
          <w:t>Critical (S1) or Major (S2)</w:t>
        </w:r>
      </w:hyperlink>
      <w:r w:rsidR="00996C0A">
        <w:rPr>
          <w:rStyle w:val="FootnoteReference"/>
          <w:color w:val="0563C1" w:themeColor="hyperlink"/>
          <w:u w:val="single"/>
        </w:rPr>
        <w:footnoteReference w:id="16"/>
      </w:r>
      <w:r>
        <w:t xml:space="preserve"> </w:t>
      </w:r>
      <w:r w:rsidRPr="004F502A">
        <w:t xml:space="preserve">priority, the DSB technical support team will send email notifications to all impacted clients.  The DSB will then continue to send progress updates every 30 minutes after the initial notification has been sent. </w:t>
      </w:r>
    </w:p>
    <w:p w14:paraId="1ED2D8EF" w14:textId="77777777" w:rsidR="002B71AA" w:rsidRDefault="002B71AA" w:rsidP="002B71AA">
      <w:pPr>
        <w:spacing w:before="240" w:after="240" w:line="276" w:lineRule="auto"/>
        <w:rPr>
          <w:b/>
          <w:bCs/>
          <w:u w:val="single"/>
        </w:rPr>
      </w:pPr>
      <w:r>
        <w:lastRenderedPageBreak/>
        <w:t>In addition, the TAC is currently reviewing the DSB’s Disaster Recovery procedures and any enhancements to the DSB processes will be made in line with the resulting recommendations.</w:t>
      </w:r>
    </w:p>
    <w:p w14:paraId="24468502" w14:textId="5E0CD79B" w:rsidR="00195103" w:rsidRDefault="00195103" w:rsidP="00195103">
      <w:pPr>
        <w:rPr>
          <w:u w:val="single"/>
        </w:rPr>
      </w:pPr>
      <w:r>
        <w:rPr>
          <w:u w:val="single"/>
        </w:rPr>
        <w:t>DSB Proposed Next Steps</w:t>
      </w:r>
    </w:p>
    <w:p w14:paraId="1AF8E7A4" w14:textId="33D2B846" w:rsidR="000A0492" w:rsidRPr="000A0492" w:rsidRDefault="0061279A" w:rsidP="00195103">
      <w:r w:rsidRPr="000A0492">
        <w:rPr>
          <w:noProof/>
          <w:lang w:eastAsia="en-GB"/>
        </w:rPr>
        <mc:AlternateContent>
          <mc:Choice Requires="wps">
            <w:drawing>
              <wp:anchor distT="45720" distB="45720" distL="114300" distR="114300" simplePos="0" relativeHeight="251812864" behindDoc="1" locked="0" layoutInCell="1" allowOverlap="1" wp14:anchorId="5462B747" wp14:editId="2847DEBB">
                <wp:simplePos x="0" y="0"/>
                <wp:positionH relativeFrom="margin">
                  <wp:posOffset>-2540</wp:posOffset>
                </wp:positionH>
                <wp:positionV relativeFrom="paragraph">
                  <wp:posOffset>483870</wp:posOffset>
                </wp:positionV>
                <wp:extent cx="5716905" cy="1404620"/>
                <wp:effectExtent l="0" t="0" r="17145" b="21590"/>
                <wp:wrapTight wrapText="bothSides">
                  <wp:wrapPolygon edited="0">
                    <wp:start x="0" y="0"/>
                    <wp:lineTo x="0" y="21676"/>
                    <wp:lineTo x="21593" y="21676"/>
                    <wp:lineTo x="21593"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9592533" w14:textId="4B8A208D" w:rsidR="00D52BA4" w:rsidRDefault="00D52BA4" w:rsidP="00195103">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18</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0A0492">
                              <w:rPr>
                                <w:rStyle w:val="eop"/>
                                <w:rFonts w:ascii="Calibri" w:eastAsiaTheme="majorEastAsia" w:hAnsi="Calibri" w:cs="Calibri"/>
                                <w:sz w:val="22"/>
                                <w:szCs w:val="22"/>
                              </w:rPr>
                              <w:t xml:space="preserve">Do you concur with the DSB’s proposal to drop further </w:t>
                            </w:r>
                            <w:r>
                              <w:rPr>
                                <w:rStyle w:val="eop"/>
                                <w:rFonts w:ascii="Calibri" w:eastAsiaTheme="majorEastAsia" w:hAnsi="Calibri" w:cs="Calibri"/>
                                <w:sz w:val="22"/>
                                <w:szCs w:val="22"/>
                              </w:rPr>
                              <w:t xml:space="preserve">investigation </w:t>
                            </w:r>
                            <w:r w:rsidRPr="000A0492">
                              <w:rPr>
                                <w:rStyle w:val="eop"/>
                                <w:rFonts w:ascii="Calibri" w:eastAsiaTheme="majorEastAsia" w:hAnsi="Calibri" w:cs="Calibri"/>
                                <w:sz w:val="22"/>
                                <w:szCs w:val="22"/>
                              </w:rPr>
                              <w:t xml:space="preserve">on </w:t>
                            </w:r>
                            <w:r>
                              <w:rPr>
                                <w:rStyle w:val="eop"/>
                                <w:rFonts w:ascii="Calibri" w:eastAsiaTheme="majorEastAsia" w:hAnsi="Calibri" w:cs="Calibri"/>
                                <w:sz w:val="22"/>
                                <w:szCs w:val="22"/>
                              </w:rPr>
                              <w:t>phone support</w:t>
                            </w:r>
                            <w:r w:rsidRPr="000A0492">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62B747" id="Text Box 43" o:spid="_x0000_s1062" type="#_x0000_t202" style="position:absolute;margin-left:-.2pt;margin-top:38.1pt;width:450.15pt;height:110.6pt;z-index:-25150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">
                <v:textbox style="mso-fit-shape-to-text:t">
                  <w:txbxContent>
                    <w:p w14:paraId="59592533" w14:textId="4B8A208D" w:rsidR="00D52BA4" w:rsidRDefault="00D52BA4" w:rsidP="00195103">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18</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0A0492">
                        <w:rPr>
                          <w:rStyle w:val="eop"/>
                          <w:rFonts w:ascii="Calibri" w:eastAsiaTheme="majorEastAsia" w:hAnsi="Calibri" w:cs="Calibri"/>
                          <w:sz w:val="22"/>
                          <w:szCs w:val="22"/>
                        </w:rPr>
                        <w:t xml:space="preserve">Do you concur with the DSB’s proposal to drop further </w:t>
                      </w:r>
                      <w:r>
                        <w:rPr>
                          <w:rStyle w:val="eop"/>
                          <w:rFonts w:ascii="Calibri" w:eastAsiaTheme="majorEastAsia" w:hAnsi="Calibri" w:cs="Calibri"/>
                          <w:sz w:val="22"/>
                          <w:szCs w:val="22"/>
                        </w:rPr>
                        <w:t xml:space="preserve">investigation </w:t>
                      </w:r>
                      <w:r w:rsidRPr="000A0492">
                        <w:rPr>
                          <w:rStyle w:val="eop"/>
                          <w:rFonts w:ascii="Calibri" w:eastAsiaTheme="majorEastAsia" w:hAnsi="Calibri" w:cs="Calibri"/>
                          <w:sz w:val="22"/>
                          <w:szCs w:val="22"/>
                        </w:rPr>
                        <w:t xml:space="preserve">on </w:t>
                      </w:r>
                      <w:r>
                        <w:rPr>
                          <w:rStyle w:val="eop"/>
                          <w:rFonts w:ascii="Calibri" w:eastAsiaTheme="majorEastAsia" w:hAnsi="Calibri" w:cs="Calibri"/>
                          <w:sz w:val="22"/>
                          <w:szCs w:val="22"/>
                        </w:rPr>
                        <w:t>phone support</w:t>
                      </w:r>
                      <w:r w:rsidRPr="000A0492">
                        <w:rPr>
                          <w:rStyle w:val="eop"/>
                          <w:rFonts w:ascii="Calibri" w:eastAsiaTheme="majorEastAsia" w:hAnsi="Calibri" w:cs="Calibri"/>
                          <w:sz w:val="22"/>
                          <w:szCs w:val="22"/>
                        </w:rPr>
                        <w:t>?</w:t>
                      </w:r>
                    </w:p>
                  </w:txbxContent>
                </v:textbox>
                <w10:wrap type="tight" anchorx="margin"/>
              </v:shape>
            </w:pict>
          </mc:Fallback>
        </mc:AlternateContent>
      </w:r>
      <w:r w:rsidR="000A0492" w:rsidRPr="000A0492">
        <w:t>The DSB</w:t>
      </w:r>
      <w:r w:rsidR="000A0492">
        <w:t xml:space="preserve"> proposes </w:t>
      </w:r>
      <w:r w:rsidR="00DC29E3" w:rsidRPr="000A0492">
        <w:rPr>
          <w:rStyle w:val="eop"/>
          <w:rFonts w:ascii="Calibri" w:eastAsiaTheme="majorEastAsia" w:hAnsi="Calibri" w:cs="Calibri"/>
        </w:rPr>
        <w:t xml:space="preserve">to drop further </w:t>
      </w:r>
      <w:r w:rsidR="00DC29E3">
        <w:rPr>
          <w:rStyle w:val="eop"/>
          <w:rFonts w:ascii="Calibri" w:eastAsiaTheme="majorEastAsia" w:hAnsi="Calibri" w:cs="Calibri"/>
        </w:rPr>
        <w:t xml:space="preserve">investigation </w:t>
      </w:r>
      <w:r w:rsidR="00DC29E3" w:rsidRPr="000A0492">
        <w:rPr>
          <w:rStyle w:val="eop"/>
          <w:rFonts w:ascii="Calibri" w:eastAsiaTheme="majorEastAsia" w:hAnsi="Calibri" w:cs="Calibri"/>
        </w:rPr>
        <w:t xml:space="preserve">on </w:t>
      </w:r>
      <w:r w:rsidR="00DC29E3">
        <w:rPr>
          <w:rStyle w:val="eop"/>
          <w:rFonts w:ascii="Calibri" w:eastAsiaTheme="majorEastAsia" w:hAnsi="Calibri" w:cs="Calibri"/>
        </w:rPr>
        <w:t>phone support.</w:t>
      </w:r>
    </w:p>
    <w:p w14:paraId="6520B202" w14:textId="12507630" w:rsidR="00B73C4C" w:rsidRDefault="00B73C4C" w:rsidP="00B73C4C">
      <w:pPr>
        <w:rPr>
          <w:rFonts w:ascii="Calibri" w:eastAsia="Times New Roman" w:hAnsi="Calibri" w:cs="Calibri"/>
          <w:color w:val="000000"/>
          <w:lang w:eastAsia="en-GB"/>
        </w:rPr>
      </w:pPr>
    </w:p>
    <w:bookmarkStart w:id="100" w:name="_Ref13077377"/>
    <w:bookmarkStart w:id="101" w:name="_Toc13087150"/>
    <w:bookmarkStart w:id="102" w:name="_Toc13157236"/>
    <w:p w14:paraId="3259F0F0" w14:textId="7F0FBF7E" w:rsidR="00B73C4C" w:rsidRDefault="00A66A4D" w:rsidP="00B73C4C">
      <w:pPr>
        <w:pStyle w:val="Heading3"/>
      </w:pPr>
      <w:r>
        <w:rPr>
          <w:noProof/>
          <w:lang w:eastAsia="en-GB"/>
        </w:rPr>
        <mc:AlternateContent>
          <mc:Choice Requires="wps">
            <w:drawing>
              <wp:anchor distT="45720" distB="45720" distL="114300" distR="114300" simplePos="0" relativeHeight="251734016" behindDoc="0" locked="0" layoutInCell="1" allowOverlap="1" wp14:anchorId="009D5B7D" wp14:editId="085F674B">
                <wp:simplePos x="0" y="0"/>
                <wp:positionH relativeFrom="margin">
                  <wp:align>right</wp:align>
                </wp:positionH>
                <wp:positionV relativeFrom="paragraph">
                  <wp:posOffset>285584</wp:posOffset>
                </wp:positionV>
                <wp:extent cx="5716905" cy="1404620"/>
                <wp:effectExtent l="0" t="0" r="1714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8C685EC" w14:textId="77EA35B6" w:rsidR="00D52BA4" w:rsidRPr="00A66A4D" w:rsidRDefault="00D52BA4" w:rsidP="00A66A4D">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A66A4D">
                              <w:rPr>
                                <w:rStyle w:val="normaltextrun"/>
                                <w:rFonts w:ascii="Calibri" w:hAnsi="Calibri" w:cs="Calibri"/>
                                <w:color w:val="000000"/>
                                <w:sz w:val="22"/>
                                <w:szCs w:val="22"/>
                              </w:rPr>
                              <w:t xml:space="preserve">The current monitoring and notification process related to the DSB’s Acceptable Use Policy (AUP) thresholds is reactive, notifying users once they have breached the AUP. The DSB has received feedback from several users that proactive monitoring and notification would be preferred.  </w:t>
                            </w:r>
                          </w:p>
                          <w:p w14:paraId="2EBE2F7C" w14:textId="38767FF4" w:rsidR="00D52BA4" w:rsidRDefault="00D52BA4" w:rsidP="00A66A4D">
                            <w:pPr>
                              <w:pStyle w:val="paragraph"/>
                              <w:spacing w:before="240" w:beforeAutospacing="0" w:after="120" w:afterAutospacing="0" w:line="276" w:lineRule="auto"/>
                              <w:textAlignment w:val="baseline"/>
                            </w:pPr>
                            <w:r w:rsidRPr="00A66A4D">
                              <w:rPr>
                                <w:rStyle w:val="normaltextrun"/>
                                <w:rFonts w:ascii="Calibri" w:hAnsi="Calibri" w:cs="Calibri"/>
                                <w:b/>
                                <w:color w:val="000000"/>
                                <w:sz w:val="22"/>
                                <w:szCs w:val="22"/>
                              </w:rPr>
                              <w:t>CP1 Question:</w:t>
                            </w:r>
                            <w:r w:rsidRPr="00A66A4D">
                              <w:rPr>
                                <w:rStyle w:val="normaltextrun"/>
                                <w:rFonts w:ascii="Calibri" w:hAnsi="Calibri" w:cs="Calibri"/>
                                <w:color w:val="000000"/>
                                <w:sz w:val="22"/>
                                <w:szCs w:val="22"/>
                              </w:rPr>
                              <w:t xml:space="preserve"> Should the DSB’s AUP monitoring process be extended to warn users when the</w:t>
                            </w:r>
                            <w:r>
                              <w:rPr>
                                <w:rStyle w:val="normaltextrun"/>
                                <w:rFonts w:ascii="Calibri" w:hAnsi="Calibri" w:cs="Calibri"/>
                                <w:color w:val="000000"/>
                                <w:sz w:val="22"/>
                                <w:szCs w:val="22"/>
                              </w:rPr>
                              <w:t xml:space="preserve">y </w:t>
                            </w:r>
                            <w:r w:rsidRPr="00A66A4D">
                              <w:rPr>
                                <w:rStyle w:val="normaltextrun"/>
                                <w:rFonts w:ascii="Calibri" w:hAnsi="Calibri" w:cs="Calibri"/>
                                <w:color w:val="000000"/>
                                <w:sz w:val="22"/>
                                <w:szCs w:val="22"/>
                              </w:rPr>
                              <w:t>exceed certain percentage levels of their AUP allocation?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D5B7D" id="_x0000_s1063" type="#_x0000_t202" style="position:absolute;left:0;text-align:left;margin-left:398.95pt;margin-top:22.5pt;width:450.15pt;height:110.6pt;z-index:251734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">
                <v:textbox style="mso-fit-shape-to-text:t">
                  <w:txbxContent>
                    <w:p w14:paraId="38C685EC" w14:textId="77EA35B6" w:rsidR="00D52BA4" w:rsidRPr="00A66A4D" w:rsidRDefault="00D52BA4" w:rsidP="00A66A4D">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A66A4D">
                        <w:rPr>
                          <w:rStyle w:val="normaltextrun"/>
                          <w:rFonts w:ascii="Calibri" w:hAnsi="Calibri" w:cs="Calibri"/>
                          <w:color w:val="000000"/>
                          <w:sz w:val="22"/>
                          <w:szCs w:val="22"/>
                        </w:rPr>
                        <w:t xml:space="preserve">The current monitoring and notification process related to the DSB’s Acceptable Use Policy (AUP) thresholds is reactive, notifying users once they have breached the AUP. The DSB has received feedback from several users that proactive monitoring and notification would be preferred.  </w:t>
                      </w:r>
                    </w:p>
                    <w:p w14:paraId="2EBE2F7C" w14:textId="38767FF4" w:rsidR="00D52BA4" w:rsidRDefault="00D52BA4" w:rsidP="00A66A4D">
                      <w:pPr>
                        <w:pStyle w:val="paragraph"/>
                        <w:spacing w:before="240" w:beforeAutospacing="0" w:after="120" w:afterAutospacing="0" w:line="276" w:lineRule="auto"/>
                        <w:textAlignment w:val="baseline"/>
                      </w:pPr>
                      <w:r w:rsidRPr="00A66A4D">
                        <w:rPr>
                          <w:rStyle w:val="normaltextrun"/>
                          <w:rFonts w:ascii="Calibri" w:hAnsi="Calibri" w:cs="Calibri"/>
                          <w:b/>
                          <w:color w:val="000000"/>
                          <w:sz w:val="22"/>
                          <w:szCs w:val="22"/>
                        </w:rPr>
                        <w:t>CP1 Question:</w:t>
                      </w:r>
                      <w:r w:rsidRPr="00A66A4D">
                        <w:rPr>
                          <w:rStyle w:val="normaltextrun"/>
                          <w:rFonts w:ascii="Calibri" w:hAnsi="Calibri" w:cs="Calibri"/>
                          <w:color w:val="000000"/>
                          <w:sz w:val="22"/>
                          <w:szCs w:val="22"/>
                        </w:rPr>
                        <w:t xml:space="preserve"> Should the DSB’s AUP monitoring process be extended to warn users when the</w:t>
                      </w:r>
                      <w:r>
                        <w:rPr>
                          <w:rStyle w:val="normaltextrun"/>
                          <w:rFonts w:ascii="Calibri" w:hAnsi="Calibri" w:cs="Calibri"/>
                          <w:color w:val="000000"/>
                          <w:sz w:val="22"/>
                          <w:szCs w:val="22"/>
                        </w:rPr>
                        <w:t xml:space="preserve">y </w:t>
                      </w:r>
                      <w:r w:rsidRPr="00A66A4D">
                        <w:rPr>
                          <w:rStyle w:val="normaltextrun"/>
                          <w:rFonts w:ascii="Calibri" w:hAnsi="Calibri" w:cs="Calibri"/>
                          <w:color w:val="000000"/>
                          <w:sz w:val="22"/>
                          <w:szCs w:val="22"/>
                        </w:rPr>
                        <w:t>exceed certain percentage levels of their AUP allocation?</w:t>
                      </w:r>
                    </w:p>
                  </w:txbxContent>
                </v:textbox>
                <w10:wrap type="square" anchorx="margin"/>
              </v:shape>
            </w:pict>
          </mc:Fallback>
        </mc:AlternateContent>
      </w:r>
      <w:r w:rsidR="00B73C4C">
        <w:t>Q</w:t>
      </w:r>
      <w:r w:rsidR="00244189">
        <w:t>3</w:t>
      </w:r>
      <w:r w:rsidR="00B73C4C">
        <w:t>.</w:t>
      </w:r>
      <w:r w:rsidR="00244189">
        <w:t>4</w:t>
      </w:r>
      <w:r w:rsidR="00B73C4C">
        <w:t xml:space="preserve"> – </w:t>
      </w:r>
      <w:r w:rsidR="00244189">
        <w:t>PROACTIVE AUP MONITORING</w:t>
      </w:r>
      <w:bookmarkEnd w:id="100"/>
      <w:bookmarkEnd w:id="101"/>
      <w:bookmarkEnd w:id="102"/>
    </w:p>
    <w:p w14:paraId="3F7CE47B" w14:textId="3935F94A" w:rsidR="00B73C4C" w:rsidRDefault="00B73C4C" w:rsidP="00A66A4D">
      <w:pPr>
        <w:rPr>
          <w:u w:val="single"/>
        </w:rPr>
      </w:pPr>
      <w:r>
        <w:rPr>
          <w:u w:val="single"/>
        </w:rPr>
        <w:t>Industry Responses</w:t>
      </w:r>
    </w:p>
    <w:p w14:paraId="049E5C1F" w14:textId="5832DF69" w:rsidR="00A66A4D" w:rsidRPr="00BB1C2A" w:rsidRDefault="00A66A4D" w:rsidP="00A66A4D">
      <w:pPr>
        <w:spacing w:before="240" w:after="120" w:line="276" w:lineRule="auto"/>
      </w:pPr>
      <w:r>
        <w:t>The responses received to the question posed in the first consultation are set out below:</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A66A4D" w:rsidRPr="008C1D48" w14:paraId="58F2D00A" w14:textId="77777777" w:rsidTr="00A66A4D">
        <w:trPr>
          <w:trHeight w:val="288"/>
        </w:trPr>
        <w:tc>
          <w:tcPr>
            <w:tcW w:w="2127" w:type="dxa"/>
            <w:vMerge w:val="restart"/>
            <w:shd w:val="clear" w:color="auto" w:fill="auto"/>
            <w:noWrap/>
            <w:vAlign w:val="center"/>
            <w:hideMark/>
          </w:tcPr>
          <w:p w14:paraId="4A40B8AC" w14:textId="77777777" w:rsidR="00A66A4D" w:rsidRPr="008C1D48" w:rsidRDefault="00A66A4D" w:rsidP="00C47967">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2FF98D28" w14:textId="77777777" w:rsidR="00A66A4D" w:rsidRPr="008C1D48" w:rsidRDefault="00A66A4D" w:rsidP="00C47967">
            <w:pPr>
              <w:spacing w:after="0" w:line="240" w:lineRule="auto"/>
              <w:jc w:val="center"/>
              <w:rPr>
                <w:rFonts w:ascii="Calibri" w:eastAsia="Times New Roman" w:hAnsi="Calibri" w:cs="Calibri"/>
                <w:b/>
                <w:bCs/>
                <w:color w:val="000000"/>
                <w:sz w:val="21"/>
                <w:szCs w:val="21"/>
                <w:lang w:eastAsia="en-GB"/>
              </w:rPr>
            </w:pPr>
            <w:r w:rsidRPr="008C1D48">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13A8F5E0" w14:textId="77777777" w:rsidR="00A66A4D" w:rsidRPr="008C1D48" w:rsidRDefault="00A66A4D" w:rsidP="00C47967">
            <w:pPr>
              <w:spacing w:after="0" w:line="240" w:lineRule="auto"/>
              <w:jc w:val="center"/>
              <w:rPr>
                <w:rFonts w:ascii="Calibri" w:eastAsia="Times New Roman" w:hAnsi="Calibri" w:cs="Calibri"/>
                <w:b/>
                <w:bCs/>
                <w:color w:val="000000"/>
                <w:sz w:val="21"/>
                <w:szCs w:val="21"/>
                <w:lang w:eastAsia="en-GB"/>
              </w:rPr>
            </w:pPr>
            <w:r w:rsidRPr="008C1D48">
              <w:rPr>
                <w:rFonts w:ascii="Calibri" w:eastAsia="Times New Roman" w:hAnsi="Calibri" w:cs="Calibri"/>
                <w:b/>
                <w:bCs/>
                <w:color w:val="000000"/>
                <w:sz w:val="21"/>
                <w:szCs w:val="21"/>
                <w:lang w:eastAsia="en-GB"/>
              </w:rPr>
              <w:t>No</w:t>
            </w:r>
          </w:p>
        </w:tc>
      </w:tr>
      <w:tr w:rsidR="00A66A4D" w:rsidRPr="008C1D48" w14:paraId="328365DE" w14:textId="77777777" w:rsidTr="00A66A4D">
        <w:trPr>
          <w:trHeight w:val="288"/>
        </w:trPr>
        <w:tc>
          <w:tcPr>
            <w:tcW w:w="2127" w:type="dxa"/>
            <w:vMerge/>
            <w:vAlign w:val="center"/>
            <w:hideMark/>
          </w:tcPr>
          <w:p w14:paraId="7623F5D5" w14:textId="77777777" w:rsidR="00A66A4D" w:rsidRPr="008C1D48" w:rsidRDefault="00A66A4D" w:rsidP="00C47967">
            <w:pPr>
              <w:spacing w:after="0" w:line="240" w:lineRule="auto"/>
              <w:rPr>
                <w:rFonts w:ascii="Times New Roman" w:eastAsia="Times New Roman" w:hAnsi="Times New Roman" w:cs="Times New Roman"/>
                <w:sz w:val="24"/>
                <w:szCs w:val="24"/>
                <w:lang w:eastAsia="en-GB"/>
              </w:rPr>
            </w:pPr>
          </w:p>
        </w:tc>
        <w:tc>
          <w:tcPr>
            <w:tcW w:w="289" w:type="dxa"/>
            <w:shd w:val="clear" w:color="000000" w:fill="63BE7B"/>
            <w:noWrap/>
            <w:vAlign w:val="center"/>
            <w:hideMark/>
          </w:tcPr>
          <w:p w14:paraId="5C9AE34A" w14:textId="77777777" w:rsidR="00A66A4D" w:rsidRPr="008C1D48" w:rsidRDefault="00A66A4D" w:rsidP="00C47967">
            <w:pPr>
              <w:spacing w:after="0" w:line="240" w:lineRule="auto"/>
              <w:jc w:val="center"/>
              <w:rPr>
                <w:rFonts w:ascii="Calibri" w:eastAsia="Times New Roman" w:hAnsi="Calibri" w:cs="Calibri"/>
                <w:b/>
                <w:bCs/>
                <w:color w:val="000000"/>
                <w:sz w:val="21"/>
                <w:szCs w:val="21"/>
                <w:lang w:eastAsia="en-GB"/>
              </w:rPr>
            </w:pPr>
            <w:r w:rsidRPr="008C1D48">
              <w:rPr>
                <w:rFonts w:ascii="Calibri" w:eastAsia="Times New Roman" w:hAnsi="Calibri" w:cs="Calibri"/>
                <w:b/>
                <w:bCs/>
                <w:color w:val="000000"/>
                <w:sz w:val="21"/>
                <w:szCs w:val="21"/>
                <w:lang w:eastAsia="en-GB"/>
              </w:rPr>
              <w:t>12</w:t>
            </w:r>
          </w:p>
        </w:tc>
        <w:tc>
          <w:tcPr>
            <w:tcW w:w="656" w:type="dxa"/>
            <w:shd w:val="clear" w:color="000000" w:fill="F8696B"/>
            <w:noWrap/>
            <w:vAlign w:val="center"/>
            <w:hideMark/>
          </w:tcPr>
          <w:p w14:paraId="3D0E71EA" w14:textId="77777777" w:rsidR="00A66A4D" w:rsidRPr="008C1D48" w:rsidRDefault="00A66A4D" w:rsidP="00C47967">
            <w:pPr>
              <w:spacing w:after="0" w:line="240" w:lineRule="auto"/>
              <w:jc w:val="center"/>
              <w:rPr>
                <w:rFonts w:ascii="Calibri" w:eastAsia="Times New Roman" w:hAnsi="Calibri" w:cs="Calibri"/>
                <w:b/>
                <w:bCs/>
                <w:color w:val="000000"/>
                <w:sz w:val="21"/>
                <w:szCs w:val="21"/>
                <w:lang w:eastAsia="en-GB"/>
              </w:rPr>
            </w:pPr>
            <w:r w:rsidRPr="008C1D48">
              <w:rPr>
                <w:rFonts w:ascii="Calibri" w:eastAsia="Times New Roman" w:hAnsi="Calibri" w:cs="Calibri"/>
                <w:b/>
                <w:bCs/>
                <w:color w:val="000000"/>
                <w:sz w:val="21"/>
                <w:szCs w:val="21"/>
                <w:lang w:eastAsia="en-GB"/>
              </w:rPr>
              <w:t>0</w:t>
            </w:r>
          </w:p>
        </w:tc>
      </w:tr>
      <w:tr w:rsidR="00A66A4D" w:rsidRPr="008C1D48" w14:paraId="4CB53577" w14:textId="77777777" w:rsidTr="00A66A4D">
        <w:trPr>
          <w:trHeight w:val="288"/>
        </w:trPr>
        <w:tc>
          <w:tcPr>
            <w:tcW w:w="2127" w:type="dxa"/>
            <w:shd w:val="clear" w:color="auto" w:fill="auto"/>
            <w:noWrap/>
            <w:vAlign w:val="center"/>
            <w:hideMark/>
          </w:tcPr>
          <w:p w14:paraId="75E7B5DC" w14:textId="77777777" w:rsidR="00A66A4D" w:rsidRPr="008C1D48" w:rsidRDefault="00A66A4D" w:rsidP="00C47967">
            <w:pPr>
              <w:spacing w:after="0" w:line="240" w:lineRule="auto"/>
              <w:jc w:val="right"/>
              <w:rPr>
                <w:rFonts w:ascii="Calibri" w:eastAsia="Times New Roman" w:hAnsi="Calibri" w:cs="Calibri"/>
                <w:color w:val="000000"/>
                <w:sz w:val="21"/>
                <w:szCs w:val="21"/>
                <w:lang w:eastAsia="en-GB"/>
              </w:rPr>
            </w:pPr>
            <w:r w:rsidRPr="008C1D48">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5538AC4F" w14:textId="77777777" w:rsidR="00A66A4D" w:rsidRPr="008C1D48" w:rsidRDefault="00A66A4D" w:rsidP="00C47967">
            <w:pPr>
              <w:spacing w:after="0" w:line="240" w:lineRule="auto"/>
              <w:jc w:val="center"/>
              <w:rPr>
                <w:rFonts w:ascii="Calibri" w:eastAsia="Times New Roman" w:hAnsi="Calibri" w:cs="Calibri"/>
                <w:color w:val="000000"/>
                <w:sz w:val="21"/>
                <w:szCs w:val="21"/>
                <w:lang w:eastAsia="en-GB"/>
              </w:rPr>
            </w:pPr>
            <w:r w:rsidRPr="008C1D48">
              <w:rPr>
                <w:rFonts w:ascii="Calibri" w:eastAsia="Times New Roman" w:hAnsi="Calibri" w:cs="Calibri"/>
                <w:color w:val="000000"/>
                <w:sz w:val="21"/>
                <w:szCs w:val="21"/>
                <w:lang w:eastAsia="en-GB"/>
              </w:rPr>
              <w:t>2</w:t>
            </w:r>
          </w:p>
        </w:tc>
        <w:tc>
          <w:tcPr>
            <w:tcW w:w="656" w:type="dxa"/>
            <w:shd w:val="clear" w:color="auto" w:fill="auto"/>
            <w:noWrap/>
            <w:vAlign w:val="center"/>
            <w:hideMark/>
          </w:tcPr>
          <w:p w14:paraId="7A374869" w14:textId="77777777" w:rsidR="00A66A4D" w:rsidRPr="008C1D48" w:rsidRDefault="00A66A4D" w:rsidP="00C47967">
            <w:pPr>
              <w:spacing w:after="0" w:line="240" w:lineRule="auto"/>
              <w:jc w:val="center"/>
              <w:rPr>
                <w:rFonts w:ascii="Calibri" w:eastAsia="Times New Roman" w:hAnsi="Calibri" w:cs="Calibri"/>
                <w:color w:val="FFFFFF"/>
                <w:sz w:val="21"/>
                <w:szCs w:val="21"/>
                <w:lang w:eastAsia="en-GB"/>
              </w:rPr>
            </w:pPr>
            <w:r w:rsidRPr="008C1D48">
              <w:rPr>
                <w:rFonts w:ascii="Calibri" w:eastAsia="Times New Roman" w:hAnsi="Calibri" w:cs="Calibri"/>
                <w:color w:val="FFFFFF"/>
                <w:sz w:val="21"/>
                <w:szCs w:val="21"/>
                <w:lang w:eastAsia="en-GB"/>
              </w:rPr>
              <w:t>0</w:t>
            </w:r>
          </w:p>
        </w:tc>
      </w:tr>
      <w:tr w:rsidR="00A66A4D" w:rsidRPr="008C1D48" w14:paraId="5A793E7F" w14:textId="77777777" w:rsidTr="00A66A4D">
        <w:trPr>
          <w:trHeight w:val="288"/>
        </w:trPr>
        <w:tc>
          <w:tcPr>
            <w:tcW w:w="2127" w:type="dxa"/>
            <w:shd w:val="clear" w:color="auto" w:fill="auto"/>
            <w:noWrap/>
            <w:vAlign w:val="center"/>
            <w:hideMark/>
          </w:tcPr>
          <w:p w14:paraId="5ED0FA68" w14:textId="77777777" w:rsidR="00A66A4D" w:rsidRPr="008C1D48" w:rsidRDefault="00A66A4D" w:rsidP="00C47967">
            <w:pPr>
              <w:spacing w:after="0" w:line="240" w:lineRule="auto"/>
              <w:jc w:val="right"/>
              <w:rPr>
                <w:rFonts w:ascii="Calibri" w:eastAsia="Times New Roman" w:hAnsi="Calibri" w:cs="Calibri"/>
                <w:color w:val="000000"/>
                <w:sz w:val="21"/>
                <w:szCs w:val="21"/>
                <w:lang w:eastAsia="en-GB"/>
              </w:rPr>
            </w:pPr>
            <w:r w:rsidRPr="008C1D48">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1223625E" w14:textId="77777777" w:rsidR="00A66A4D" w:rsidRPr="008C1D48" w:rsidRDefault="00A66A4D" w:rsidP="00C47967">
            <w:pPr>
              <w:spacing w:after="0" w:line="240" w:lineRule="auto"/>
              <w:jc w:val="center"/>
              <w:rPr>
                <w:rFonts w:ascii="Calibri" w:eastAsia="Times New Roman" w:hAnsi="Calibri" w:cs="Calibri"/>
                <w:color w:val="000000"/>
                <w:sz w:val="21"/>
                <w:szCs w:val="21"/>
                <w:lang w:eastAsia="en-GB"/>
              </w:rPr>
            </w:pPr>
            <w:r w:rsidRPr="008C1D48">
              <w:rPr>
                <w:rFonts w:ascii="Calibri" w:eastAsia="Times New Roman" w:hAnsi="Calibri" w:cs="Calibri"/>
                <w:color w:val="000000"/>
                <w:sz w:val="21"/>
                <w:szCs w:val="21"/>
                <w:lang w:eastAsia="en-GB"/>
              </w:rPr>
              <w:t>10</w:t>
            </w:r>
          </w:p>
        </w:tc>
        <w:tc>
          <w:tcPr>
            <w:tcW w:w="656" w:type="dxa"/>
            <w:shd w:val="clear" w:color="auto" w:fill="auto"/>
            <w:noWrap/>
            <w:vAlign w:val="center"/>
            <w:hideMark/>
          </w:tcPr>
          <w:p w14:paraId="728169EA" w14:textId="77777777" w:rsidR="00A66A4D" w:rsidRPr="008C1D48" w:rsidRDefault="00A66A4D" w:rsidP="00C47967">
            <w:pPr>
              <w:spacing w:after="0" w:line="240" w:lineRule="auto"/>
              <w:jc w:val="center"/>
              <w:rPr>
                <w:rFonts w:ascii="Calibri" w:eastAsia="Times New Roman" w:hAnsi="Calibri" w:cs="Calibri"/>
                <w:color w:val="FFFFFF"/>
                <w:sz w:val="21"/>
                <w:szCs w:val="21"/>
                <w:lang w:eastAsia="en-GB"/>
              </w:rPr>
            </w:pPr>
            <w:r w:rsidRPr="008C1D48">
              <w:rPr>
                <w:rFonts w:ascii="Calibri" w:eastAsia="Times New Roman" w:hAnsi="Calibri" w:cs="Calibri"/>
                <w:color w:val="FFFFFF"/>
                <w:sz w:val="21"/>
                <w:szCs w:val="21"/>
                <w:lang w:eastAsia="en-GB"/>
              </w:rPr>
              <w:t>0</w:t>
            </w:r>
          </w:p>
        </w:tc>
      </w:tr>
    </w:tbl>
    <w:p w14:paraId="033544AE" w14:textId="429CC988" w:rsidR="00A66A4D" w:rsidRDefault="00A66A4D" w:rsidP="00A66A4D">
      <w:pPr>
        <w:spacing w:before="240" w:after="120" w:line="276" w:lineRule="auto"/>
      </w:pPr>
      <w:r>
        <w:t>Responde</w:t>
      </w:r>
      <w:r w:rsidR="006850C5">
        <w:t>nts</w:t>
      </w:r>
      <w:r>
        <w:t xml:space="preserve"> who expressed an opinion were unanimously in favour of exploring the implementation of such a service, in order to provide more notice of any requirement to change their systems or operational processes so that they can stay within AUP limits.</w:t>
      </w:r>
    </w:p>
    <w:p w14:paraId="2D987E96" w14:textId="35AD78C9" w:rsidR="00A66A4D" w:rsidRDefault="00A66A4D" w:rsidP="00A66A4D">
      <w:pPr>
        <w:spacing w:before="240" w:after="120" w:line="276" w:lineRule="auto"/>
      </w:pPr>
      <w:r>
        <w:t>Some responders were interested in receiving API based notification of potential breach, while other users were more interested in keeping DSB implementation costs low.</w:t>
      </w:r>
    </w:p>
    <w:p w14:paraId="055C4242" w14:textId="77777777" w:rsidR="00A66A4D" w:rsidRDefault="00A66A4D" w:rsidP="00944AAF">
      <w:pPr>
        <w:spacing w:before="240"/>
        <w:rPr>
          <w:u w:val="single"/>
        </w:rPr>
      </w:pPr>
      <w:r>
        <w:rPr>
          <w:u w:val="single"/>
        </w:rPr>
        <w:t>Analysis of Responses</w:t>
      </w:r>
    </w:p>
    <w:p w14:paraId="2BF6F62F" w14:textId="77777777" w:rsidR="00A66A4D" w:rsidRDefault="00A66A4D" w:rsidP="00815088">
      <w:pPr>
        <w:spacing w:before="120" w:after="120" w:line="276" w:lineRule="auto"/>
      </w:pPr>
      <w:r>
        <w:t>The feedback demonstrates a clear desire for the DSB to implement a proactive AUP monitoring solution, although opinion is mixed as to the core focus of such an implementation: whether to focus on a simple low-cost solution or whether to provide a more feature-rich API solution.</w:t>
      </w:r>
    </w:p>
    <w:p w14:paraId="4C92645E" w14:textId="77777777" w:rsidR="00B372B3" w:rsidRDefault="00B372B3" w:rsidP="00944AAF">
      <w:pPr>
        <w:spacing w:before="240"/>
        <w:rPr>
          <w:u w:val="single"/>
        </w:rPr>
      </w:pPr>
      <w:r>
        <w:rPr>
          <w:u w:val="single"/>
        </w:rPr>
        <w:t>DSB Proposed Next Steps</w:t>
      </w:r>
    </w:p>
    <w:p w14:paraId="4E3CFCE3" w14:textId="4253F16B" w:rsidR="00A66A4D" w:rsidRDefault="00B372B3" w:rsidP="00A66A4D">
      <w:pPr>
        <w:spacing w:before="240" w:after="120" w:line="276" w:lineRule="auto"/>
      </w:pPr>
      <w:r>
        <w:lastRenderedPageBreak/>
        <w:t>T</w:t>
      </w:r>
      <w:r w:rsidR="00A66A4D">
        <w:t>he DSB is submitting two proposals for consideration: one proposal for a core, low cost implementation of the functionality; and a second proposal for an API functionality on top of the core functionality.</w:t>
      </w:r>
    </w:p>
    <w:p w14:paraId="14BE6A62" w14:textId="77777777" w:rsidR="00A66A4D" w:rsidRDefault="00A66A4D" w:rsidP="00A66A4D">
      <w:pPr>
        <w:spacing w:before="240" w:after="120" w:line="276" w:lineRule="auto"/>
        <w:rPr>
          <w:b/>
          <w:bCs/>
          <w:u w:val="single"/>
        </w:rPr>
      </w:pPr>
      <w:r>
        <w:rPr>
          <w:b/>
          <w:bCs/>
          <w:u w:val="single"/>
        </w:rPr>
        <w:t xml:space="preserve">Proposal for core implementation: </w:t>
      </w:r>
    </w:p>
    <w:p w14:paraId="6803E3E0" w14:textId="45728507" w:rsidR="00A66A4D" w:rsidRDefault="00A66A4D" w:rsidP="00815088">
      <w:pPr>
        <w:spacing w:before="120" w:after="120" w:line="276" w:lineRule="auto"/>
        <w:rPr>
          <w:bCs/>
        </w:rPr>
      </w:pPr>
      <w:r>
        <w:rPr>
          <w:bCs/>
        </w:rPr>
        <w:t xml:space="preserve">The DSB proposes to implement a minimal core functionality via an automated email-based mechanism which automatically notifies </w:t>
      </w:r>
      <w:r w:rsidR="00751FF1">
        <w:rPr>
          <w:bCs/>
        </w:rPr>
        <w:t xml:space="preserve">all fee paying </w:t>
      </w:r>
      <w:r>
        <w:rPr>
          <w:bCs/>
        </w:rPr>
        <w:t>users upon breaching certain pre-configured thresholds (e</w:t>
      </w:r>
      <w:r w:rsidR="00660B0D">
        <w:rPr>
          <w:bCs/>
        </w:rPr>
        <w:t>.</w:t>
      </w:r>
      <w:r>
        <w:rPr>
          <w:bCs/>
        </w:rPr>
        <w:t>g</w:t>
      </w:r>
      <w:r w:rsidR="00660B0D">
        <w:rPr>
          <w:bCs/>
        </w:rPr>
        <w:t>.</w:t>
      </w:r>
      <w:r>
        <w:rPr>
          <w:bCs/>
        </w:rPr>
        <w:t xml:space="preserve"> 75%, 90% and 100%).</w:t>
      </w:r>
    </w:p>
    <w:p w14:paraId="784A0401" w14:textId="44EB9CBC" w:rsidR="00A66A4D" w:rsidRDefault="00A66A4D" w:rsidP="00A66A4D">
      <w:pPr>
        <w:spacing w:before="240" w:after="120" w:line="276" w:lineRule="auto"/>
        <w:rPr>
          <w:bCs/>
        </w:rPr>
      </w:pPr>
      <w:r>
        <w:rPr>
          <w:bCs/>
        </w:rPr>
        <w:t>The precise thresholds and functionality to be agreed with the TAC (e</w:t>
      </w:r>
      <w:r w:rsidR="00660B0D">
        <w:rPr>
          <w:bCs/>
        </w:rPr>
        <w:t>.</w:t>
      </w:r>
      <w:r>
        <w:rPr>
          <w:bCs/>
        </w:rPr>
        <w:t>g</w:t>
      </w:r>
      <w:r w:rsidR="00660B0D">
        <w:rPr>
          <w:bCs/>
        </w:rPr>
        <w:t>.</w:t>
      </w:r>
      <w:r>
        <w:rPr>
          <w:bCs/>
        </w:rPr>
        <w:t xml:space="preserve"> whether thresholds should be user-configurable or universal).</w:t>
      </w:r>
    </w:p>
    <w:p w14:paraId="4A888F53" w14:textId="77777777" w:rsidR="00A66A4D" w:rsidRPr="00660B0D" w:rsidRDefault="00A66A4D" w:rsidP="00815088">
      <w:pPr>
        <w:pStyle w:val="paragraph"/>
        <w:spacing w:after="0" w:afterAutospacing="0" w:line="276" w:lineRule="auto"/>
        <w:textAlignment w:val="baseline"/>
        <w:rPr>
          <w:rFonts w:ascii="Calibri" w:hAnsi="Calibri" w:cs="Calibri"/>
          <w:sz w:val="22"/>
          <w:szCs w:val="22"/>
        </w:rPr>
      </w:pPr>
      <w:r w:rsidRPr="00660B0D">
        <w:rPr>
          <w:rFonts w:ascii="Calibri" w:hAnsi="Calibri" w:cs="Calibri"/>
          <w:sz w:val="22"/>
          <w:szCs w:val="22"/>
        </w:rPr>
        <w:t>Costs:</w:t>
      </w:r>
    </w:p>
    <w:p w14:paraId="73EF51D2" w14:textId="77777777" w:rsidR="00A66A4D" w:rsidRPr="00660B0D" w:rsidRDefault="00A66A4D" w:rsidP="00815088">
      <w:pPr>
        <w:pStyle w:val="paragraph"/>
        <w:numPr>
          <w:ilvl w:val="0"/>
          <w:numId w:val="33"/>
        </w:numPr>
        <w:spacing w:before="120" w:beforeAutospacing="0" w:line="276" w:lineRule="auto"/>
        <w:ind w:left="357" w:hanging="357"/>
        <w:textAlignment w:val="baseline"/>
        <w:rPr>
          <w:rFonts w:ascii="Calibri" w:hAnsi="Calibri" w:cs="Calibri"/>
          <w:sz w:val="22"/>
          <w:szCs w:val="22"/>
        </w:rPr>
      </w:pPr>
      <w:r w:rsidRPr="00660B0D">
        <w:rPr>
          <w:rFonts w:ascii="Calibri" w:hAnsi="Calibri" w:cs="Calibri"/>
          <w:sz w:val="22"/>
          <w:szCs w:val="22"/>
        </w:rPr>
        <w:t>Capex: €30k analysis for TAC review</w:t>
      </w:r>
    </w:p>
    <w:p w14:paraId="3F22C9FE" w14:textId="77777777" w:rsidR="00A66A4D" w:rsidRPr="00660B0D" w:rsidRDefault="00A66A4D" w:rsidP="00A66A4D">
      <w:pPr>
        <w:pStyle w:val="paragraph"/>
        <w:numPr>
          <w:ilvl w:val="0"/>
          <w:numId w:val="33"/>
        </w:numPr>
        <w:spacing w:line="276" w:lineRule="auto"/>
        <w:textAlignment w:val="baseline"/>
        <w:rPr>
          <w:rFonts w:ascii="Calibri" w:hAnsi="Calibri" w:cs="Calibri"/>
          <w:sz w:val="22"/>
          <w:szCs w:val="22"/>
        </w:rPr>
      </w:pPr>
      <w:r w:rsidRPr="00660B0D">
        <w:rPr>
          <w:rFonts w:ascii="Calibri" w:hAnsi="Calibri" w:cs="Calibri"/>
          <w:sz w:val="22"/>
          <w:szCs w:val="22"/>
        </w:rPr>
        <w:t>Capex: €140k implementation</w:t>
      </w:r>
    </w:p>
    <w:p w14:paraId="34ABF3E9" w14:textId="77777777" w:rsidR="00A66A4D" w:rsidRPr="00660B0D" w:rsidRDefault="00A66A4D" w:rsidP="00A66A4D">
      <w:pPr>
        <w:pStyle w:val="paragraph"/>
        <w:numPr>
          <w:ilvl w:val="0"/>
          <w:numId w:val="33"/>
        </w:numPr>
        <w:spacing w:line="276" w:lineRule="auto"/>
        <w:textAlignment w:val="baseline"/>
        <w:rPr>
          <w:rFonts w:ascii="Calibri" w:hAnsi="Calibri" w:cs="Calibri"/>
          <w:sz w:val="22"/>
          <w:szCs w:val="22"/>
        </w:rPr>
      </w:pPr>
      <w:proofErr w:type="spellStart"/>
      <w:r w:rsidRPr="00660B0D">
        <w:rPr>
          <w:rFonts w:ascii="Calibri" w:hAnsi="Calibri" w:cs="Calibri"/>
          <w:sz w:val="22"/>
          <w:szCs w:val="22"/>
        </w:rPr>
        <w:t>Opex</w:t>
      </w:r>
      <w:proofErr w:type="spellEnd"/>
      <w:r w:rsidRPr="00660B0D">
        <w:rPr>
          <w:rFonts w:ascii="Calibri" w:hAnsi="Calibri" w:cs="Calibri"/>
          <w:sz w:val="22"/>
          <w:szCs w:val="22"/>
        </w:rPr>
        <w:t>: €40k run cost from 2021</w:t>
      </w:r>
    </w:p>
    <w:p w14:paraId="43B8F4EE" w14:textId="35178E4E" w:rsidR="00A66A4D" w:rsidRPr="00660B0D" w:rsidRDefault="00944AAF" w:rsidP="00DA7FD4">
      <w:pPr>
        <w:pStyle w:val="paragraph"/>
        <w:spacing w:line="276" w:lineRule="auto"/>
        <w:textAlignment w:val="baseline"/>
        <w:rPr>
          <w:rFonts w:ascii="Calibri" w:hAnsi="Calibri" w:cs="Calibri"/>
          <w:sz w:val="22"/>
          <w:szCs w:val="22"/>
        </w:rPr>
      </w:pPr>
      <w:r w:rsidRPr="00944AAF">
        <w:rPr>
          <w:rFonts w:ascii="Calibri" w:hAnsi="Calibri" w:cs="Calibri"/>
          <w:sz w:val="22"/>
          <w:szCs w:val="22"/>
        </w:rPr>
        <w:t>Impact on DSB total costs</w:t>
      </w:r>
      <w:r w:rsidR="00A66A4D" w:rsidRPr="00660B0D">
        <w:rPr>
          <w:rFonts w:ascii="Calibri" w:hAnsi="Calibri" w:cs="Calibri"/>
          <w:sz w:val="22"/>
          <w:szCs w:val="22"/>
        </w:rPr>
        <w:t>: None in 2020; €82.5K in 2021-24 (</w:t>
      </w:r>
      <w:r w:rsidR="00462340" w:rsidRPr="00660B0D">
        <w:rPr>
          <w:rFonts w:ascii="Calibri" w:hAnsi="Calibri" w:cs="Calibri"/>
          <w:sz w:val="22"/>
          <w:szCs w:val="22"/>
        </w:rPr>
        <w:t>&lt;1%</w:t>
      </w:r>
      <w:r w:rsidR="0060486F" w:rsidRPr="00660B0D">
        <w:rPr>
          <w:rFonts w:ascii="Calibri" w:hAnsi="Calibri" w:cs="Calibri"/>
          <w:sz w:val="22"/>
          <w:szCs w:val="22"/>
        </w:rPr>
        <w:t xml:space="preserve"> increase in costs</w:t>
      </w:r>
      <w:r w:rsidR="00A66A4D" w:rsidRPr="00660B0D">
        <w:rPr>
          <w:rFonts w:ascii="Calibri" w:hAnsi="Calibri" w:cs="Calibri"/>
          <w:sz w:val="22"/>
          <w:szCs w:val="22"/>
        </w:rPr>
        <w:t>); €40K from 2025 onwards (</w:t>
      </w:r>
      <w:r w:rsidR="00462340" w:rsidRPr="00660B0D">
        <w:rPr>
          <w:rFonts w:ascii="Calibri" w:hAnsi="Calibri" w:cs="Calibri"/>
          <w:sz w:val="22"/>
          <w:szCs w:val="22"/>
        </w:rPr>
        <w:t>&lt;0.5%</w:t>
      </w:r>
      <w:r w:rsidR="0060486F" w:rsidRPr="00660B0D">
        <w:rPr>
          <w:rFonts w:ascii="Calibri" w:hAnsi="Calibri" w:cs="Calibri"/>
          <w:sz w:val="22"/>
          <w:szCs w:val="22"/>
        </w:rPr>
        <w:t xml:space="preserve"> increase in costs</w:t>
      </w:r>
      <w:r w:rsidR="00A66A4D" w:rsidRPr="00660B0D">
        <w:rPr>
          <w:rFonts w:ascii="Calibri" w:hAnsi="Calibri" w:cs="Calibri"/>
          <w:sz w:val="22"/>
          <w:szCs w:val="22"/>
        </w:rPr>
        <w:t>)</w:t>
      </w:r>
    </w:p>
    <w:p w14:paraId="203D07FE" w14:textId="301D6D0D" w:rsidR="00A66A4D" w:rsidRPr="00660B0D" w:rsidRDefault="00A66A4D" w:rsidP="00462340">
      <w:pPr>
        <w:pStyle w:val="paragraph"/>
        <w:spacing w:line="276" w:lineRule="auto"/>
        <w:textAlignment w:val="baseline"/>
        <w:rPr>
          <w:rFonts w:ascii="Calibri" w:hAnsi="Calibri" w:cs="Calibri"/>
          <w:sz w:val="22"/>
          <w:szCs w:val="22"/>
        </w:rPr>
      </w:pPr>
      <w:r w:rsidRPr="00660B0D">
        <w:rPr>
          <w:rFonts w:ascii="Calibri" w:hAnsi="Calibri" w:cs="Calibri"/>
          <w:sz w:val="22"/>
          <w:szCs w:val="22"/>
        </w:rPr>
        <w:t>DSB will not progress where run or build costs exceed the amounts set out in this document </w:t>
      </w:r>
    </w:p>
    <w:p w14:paraId="606858F0" w14:textId="77777777" w:rsidR="00A66A4D" w:rsidRDefault="00A66A4D" w:rsidP="00A66A4D">
      <w:pPr>
        <w:spacing w:before="240" w:after="120" w:line="276" w:lineRule="auto"/>
        <w:rPr>
          <w:b/>
          <w:bCs/>
          <w:u w:val="single"/>
        </w:rPr>
      </w:pPr>
      <w:r>
        <w:rPr>
          <w:b/>
          <w:bCs/>
          <w:u w:val="single"/>
        </w:rPr>
        <w:t xml:space="preserve">Proposal for API implementation: </w:t>
      </w:r>
    </w:p>
    <w:p w14:paraId="1E28DBD6" w14:textId="77777777" w:rsidR="00A66A4D" w:rsidRDefault="00A66A4D" w:rsidP="00A66A4D">
      <w:pPr>
        <w:spacing w:before="240" w:after="120" w:line="276" w:lineRule="auto"/>
        <w:rPr>
          <w:bCs/>
        </w:rPr>
      </w:pPr>
      <w:r>
        <w:rPr>
          <w:bCs/>
        </w:rPr>
        <w:t>The DSB can also optionally implement an additional API-notification on top of the core functionality, to allow both REST and FIX users programmatic notification of threshold breaches.</w:t>
      </w:r>
    </w:p>
    <w:p w14:paraId="208662C2" w14:textId="007D179E" w:rsidR="00A66A4D" w:rsidRDefault="00A66A4D" w:rsidP="00A66A4D">
      <w:pPr>
        <w:spacing w:before="240" w:after="120" w:line="276" w:lineRule="auto"/>
        <w:rPr>
          <w:bCs/>
        </w:rPr>
      </w:pPr>
      <w:r>
        <w:rPr>
          <w:bCs/>
        </w:rPr>
        <w:t>The precise functionality to be agreed with the TAC (e</w:t>
      </w:r>
      <w:r w:rsidR="00660B0D">
        <w:rPr>
          <w:bCs/>
        </w:rPr>
        <w:t>.</w:t>
      </w:r>
      <w:r>
        <w:rPr>
          <w:bCs/>
        </w:rPr>
        <w:t>g</w:t>
      </w:r>
      <w:r w:rsidR="00660B0D">
        <w:rPr>
          <w:bCs/>
        </w:rPr>
        <w:t>.</w:t>
      </w:r>
      <w:r>
        <w:rPr>
          <w:bCs/>
        </w:rPr>
        <w:t xml:space="preserve"> whether the API should allow the user to retrieve existing % usage or only be notified when threshold is reached).</w:t>
      </w:r>
    </w:p>
    <w:p w14:paraId="5E8760ED" w14:textId="77777777" w:rsidR="00A66A4D" w:rsidRPr="00660B0D" w:rsidRDefault="00A66A4D" w:rsidP="00A66A4D">
      <w:pPr>
        <w:pStyle w:val="paragraph"/>
        <w:spacing w:line="276" w:lineRule="auto"/>
        <w:textAlignment w:val="baseline"/>
        <w:rPr>
          <w:rFonts w:ascii="Calibri" w:hAnsi="Calibri" w:cs="Calibri"/>
          <w:sz w:val="22"/>
          <w:szCs w:val="22"/>
        </w:rPr>
      </w:pPr>
      <w:r w:rsidRPr="00660B0D">
        <w:rPr>
          <w:rFonts w:ascii="Calibri" w:hAnsi="Calibri" w:cs="Calibri"/>
          <w:sz w:val="22"/>
          <w:szCs w:val="22"/>
        </w:rPr>
        <w:t>Costs (assuming implemented at the same time as core):</w:t>
      </w:r>
    </w:p>
    <w:p w14:paraId="0A9E43A3" w14:textId="77777777" w:rsidR="00A66A4D" w:rsidRPr="00660B0D" w:rsidRDefault="00A66A4D" w:rsidP="00A66A4D">
      <w:pPr>
        <w:pStyle w:val="paragraph"/>
        <w:numPr>
          <w:ilvl w:val="0"/>
          <w:numId w:val="33"/>
        </w:numPr>
        <w:spacing w:line="276" w:lineRule="auto"/>
        <w:textAlignment w:val="baseline"/>
        <w:rPr>
          <w:rFonts w:ascii="Calibri" w:hAnsi="Calibri" w:cs="Calibri"/>
          <w:sz w:val="22"/>
          <w:szCs w:val="22"/>
        </w:rPr>
      </w:pPr>
      <w:r w:rsidRPr="00660B0D">
        <w:rPr>
          <w:rFonts w:ascii="Calibri" w:hAnsi="Calibri" w:cs="Calibri"/>
          <w:sz w:val="22"/>
          <w:szCs w:val="22"/>
        </w:rPr>
        <w:t>Capex: €15k analysis for TAC review</w:t>
      </w:r>
    </w:p>
    <w:p w14:paraId="74956807" w14:textId="77777777" w:rsidR="00A66A4D" w:rsidRPr="00660B0D" w:rsidRDefault="00A66A4D" w:rsidP="00A66A4D">
      <w:pPr>
        <w:pStyle w:val="paragraph"/>
        <w:numPr>
          <w:ilvl w:val="0"/>
          <w:numId w:val="33"/>
        </w:numPr>
        <w:spacing w:line="276" w:lineRule="auto"/>
        <w:textAlignment w:val="baseline"/>
        <w:rPr>
          <w:rFonts w:ascii="Calibri" w:hAnsi="Calibri" w:cs="Calibri"/>
          <w:sz w:val="22"/>
          <w:szCs w:val="22"/>
        </w:rPr>
      </w:pPr>
      <w:r w:rsidRPr="00660B0D">
        <w:rPr>
          <w:rFonts w:ascii="Calibri" w:hAnsi="Calibri" w:cs="Calibri"/>
          <w:sz w:val="22"/>
          <w:szCs w:val="22"/>
        </w:rPr>
        <w:t xml:space="preserve">Capex: €70k implementation </w:t>
      </w:r>
    </w:p>
    <w:p w14:paraId="22C4CE01" w14:textId="77777777" w:rsidR="00A66A4D" w:rsidRPr="00660B0D" w:rsidRDefault="00A66A4D" w:rsidP="00A66A4D">
      <w:pPr>
        <w:pStyle w:val="paragraph"/>
        <w:numPr>
          <w:ilvl w:val="0"/>
          <w:numId w:val="33"/>
        </w:numPr>
        <w:spacing w:line="276" w:lineRule="auto"/>
        <w:textAlignment w:val="baseline"/>
        <w:rPr>
          <w:rFonts w:ascii="Calibri" w:hAnsi="Calibri" w:cs="Calibri"/>
          <w:sz w:val="22"/>
          <w:szCs w:val="22"/>
        </w:rPr>
      </w:pPr>
      <w:proofErr w:type="spellStart"/>
      <w:r w:rsidRPr="00660B0D">
        <w:rPr>
          <w:rFonts w:ascii="Calibri" w:hAnsi="Calibri" w:cs="Calibri"/>
          <w:sz w:val="22"/>
          <w:szCs w:val="22"/>
        </w:rPr>
        <w:t>Opex</w:t>
      </w:r>
      <w:proofErr w:type="spellEnd"/>
      <w:r w:rsidRPr="00660B0D">
        <w:rPr>
          <w:rFonts w:ascii="Calibri" w:hAnsi="Calibri" w:cs="Calibri"/>
          <w:sz w:val="22"/>
          <w:szCs w:val="22"/>
        </w:rPr>
        <w:t>: €20k run cost from 2021</w:t>
      </w:r>
    </w:p>
    <w:p w14:paraId="731FC0C5" w14:textId="1B91FE3F" w:rsidR="00A66A4D" w:rsidRPr="00660B0D" w:rsidRDefault="001663C8" w:rsidP="00815088">
      <w:pPr>
        <w:pStyle w:val="paragraph"/>
        <w:spacing w:line="276" w:lineRule="auto"/>
        <w:textAlignment w:val="baseline"/>
        <w:rPr>
          <w:rFonts w:ascii="Calibri" w:hAnsi="Calibri" w:cs="Calibri"/>
          <w:sz w:val="22"/>
          <w:szCs w:val="22"/>
        </w:rPr>
      </w:pPr>
      <w:r w:rsidRPr="00DA7FD4">
        <w:rPr>
          <w:rFonts w:ascii="Calibri" w:hAnsi="Calibri" w:cs="Calibri"/>
          <w:sz w:val="22"/>
          <w:szCs w:val="22"/>
        </w:rPr>
        <w:t>Impact on DSB total costs</w:t>
      </w:r>
      <w:r w:rsidR="00A66A4D" w:rsidRPr="00660B0D">
        <w:rPr>
          <w:rFonts w:ascii="Calibri" w:hAnsi="Calibri" w:cs="Calibri"/>
          <w:sz w:val="22"/>
          <w:szCs w:val="22"/>
        </w:rPr>
        <w:t>: None in 2020; €4</w:t>
      </w:r>
      <w:r w:rsidR="00A8063F">
        <w:rPr>
          <w:rFonts w:ascii="Calibri" w:hAnsi="Calibri" w:cs="Calibri"/>
          <w:sz w:val="22"/>
          <w:szCs w:val="22"/>
        </w:rPr>
        <w:t>1.25</w:t>
      </w:r>
      <w:r w:rsidR="00A66A4D" w:rsidRPr="00660B0D">
        <w:rPr>
          <w:rFonts w:ascii="Calibri" w:hAnsi="Calibri" w:cs="Calibri"/>
          <w:sz w:val="22"/>
          <w:szCs w:val="22"/>
        </w:rPr>
        <w:t>K in 2021-24 (</w:t>
      </w:r>
      <w:r w:rsidR="0060486F" w:rsidRPr="00660B0D">
        <w:rPr>
          <w:rFonts w:ascii="Calibri" w:hAnsi="Calibri" w:cs="Calibri"/>
          <w:sz w:val="22"/>
          <w:szCs w:val="22"/>
        </w:rPr>
        <w:t>&lt;0.5% increase in costs</w:t>
      </w:r>
      <w:r w:rsidR="00A66A4D" w:rsidRPr="00660B0D">
        <w:rPr>
          <w:rFonts w:ascii="Calibri" w:hAnsi="Calibri" w:cs="Calibri"/>
          <w:sz w:val="22"/>
          <w:szCs w:val="22"/>
        </w:rPr>
        <w:t>); €20K from 2025 onwards</w:t>
      </w:r>
    </w:p>
    <w:p w14:paraId="7240C546" w14:textId="7C94B4E2" w:rsidR="00CC79AA" w:rsidRPr="00660B0D" w:rsidRDefault="00CF4D21" w:rsidP="00B372B3">
      <w:pPr>
        <w:pStyle w:val="paragraph"/>
        <w:spacing w:line="276" w:lineRule="auto"/>
        <w:textAlignment w:val="baseline"/>
        <w:rPr>
          <w:rFonts w:ascii="Calibri" w:hAnsi="Calibri" w:cs="Calibri"/>
          <w:sz w:val="22"/>
          <w:szCs w:val="22"/>
        </w:rPr>
      </w:pPr>
      <w:r w:rsidRPr="00660B0D">
        <w:rPr>
          <w:noProof/>
        </w:rPr>
        <mc:AlternateContent>
          <mc:Choice Requires="wps">
            <w:drawing>
              <wp:anchor distT="45720" distB="45720" distL="114300" distR="114300" simplePos="0" relativeHeight="251742208" behindDoc="1" locked="0" layoutInCell="1" allowOverlap="1" wp14:anchorId="2A677922" wp14:editId="79749614">
                <wp:simplePos x="0" y="0"/>
                <wp:positionH relativeFrom="margin">
                  <wp:posOffset>-2540</wp:posOffset>
                </wp:positionH>
                <wp:positionV relativeFrom="paragraph">
                  <wp:posOffset>360680</wp:posOffset>
                </wp:positionV>
                <wp:extent cx="5716905" cy="1404620"/>
                <wp:effectExtent l="0" t="0" r="17145" b="21590"/>
                <wp:wrapTight wrapText="bothSides">
                  <wp:wrapPolygon edited="0">
                    <wp:start x="0" y="0"/>
                    <wp:lineTo x="0" y="21663"/>
                    <wp:lineTo x="21593" y="21663"/>
                    <wp:lineTo x="2159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0CF2432F" w14:textId="0D0FB1B2" w:rsidR="00D52BA4" w:rsidRDefault="00D52BA4" w:rsidP="00B73C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19(a)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B372B3">
                              <w:rPr>
                                <w:rStyle w:val="eop"/>
                                <w:rFonts w:ascii="Calibri" w:eastAsiaTheme="majorEastAsia" w:hAnsi="Calibri" w:cs="Calibri"/>
                                <w:sz w:val="22"/>
                                <w:szCs w:val="22"/>
                              </w:rPr>
                              <w:t>Do you concur with the DSB’s proposal to implement the core functionality?</w:t>
                            </w:r>
                          </w:p>
                          <w:p w14:paraId="7261CF88" w14:textId="2E209F6E" w:rsidR="00D52BA4" w:rsidRDefault="00D52BA4" w:rsidP="00B73C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Pr>
                                <w:rStyle w:val="eop"/>
                                <w:rFonts w:ascii="Calibri" w:eastAsiaTheme="majorEastAsia" w:hAnsi="Calibri" w:cs="Calibri"/>
                                <w:b/>
                                <w:sz w:val="22"/>
                                <w:szCs w:val="22"/>
                              </w:rPr>
                              <w:t xml:space="preserve">CP2 </w:t>
                            </w:r>
                            <w:r w:rsidRPr="00B372B3">
                              <w:rPr>
                                <w:rStyle w:val="eop"/>
                                <w:rFonts w:ascii="Calibri" w:eastAsiaTheme="majorEastAsia" w:hAnsi="Calibri" w:cs="Calibri"/>
                                <w:b/>
                                <w:sz w:val="22"/>
                                <w:szCs w:val="22"/>
                              </w:rPr>
                              <w:t xml:space="preserve">Question </w:t>
                            </w:r>
                            <w:r>
                              <w:rPr>
                                <w:rStyle w:val="eop"/>
                                <w:rFonts w:ascii="Calibri" w:eastAsiaTheme="majorEastAsia" w:hAnsi="Calibri" w:cs="Calibri"/>
                                <w:b/>
                                <w:sz w:val="22"/>
                                <w:szCs w:val="22"/>
                              </w:rPr>
                              <w:t>19</w:t>
                            </w:r>
                            <w:r w:rsidRPr="00B372B3">
                              <w:rPr>
                                <w:rStyle w:val="eop"/>
                                <w:rFonts w:ascii="Calibri" w:eastAsiaTheme="majorEastAsia" w:hAnsi="Calibri" w:cs="Calibri"/>
                                <w:b/>
                                <w:sz w:val="22"/>
                                <w:szCs w:val="22"/>
                              </w:rPr>
                              <w:t>(b):</w:t>
                            </w:r>
                            <w:r w:rsidRPr="00B372B3">
                              <w:rPr>
                                <w:rStyle w:val="eop"/>
                                <w:rFonts w:ascii="Calibri" w:eastAsiaTheme="majorEastAsia" w:hAnsi="Calibri" w:cs="Calibri"/>
                                <w:sz w:val="22"/>
                                <w:szCs w:val="22"/>
                              </w:rPr>
                              <w:t xml:space="preserve"> Do you concur with the implementation of the API functionality?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677922" id="Text Box 7" o:spid="_x0000_s1064" type="#_x0000_t202" style="position:absolute;margin-left:-.2pt;margin-top:28.4pt;width:450.15pt;height:110.6pt;z-index:-251574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9yKAIAAE0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">
                <v:textbox style="mso-fit-shape-to-text:t">
                  <w:txbxContent>
                    <w:p w14:paraId="0CF2432F" w14:textId="0D0FB1B2" w:rsidR="00D52BA4" w:rsidRDefault="00D52BA4" w:rsidP="00B73C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19(a)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B372B3">
                        <w:rPr>
                          <w:rStyle w:val="eop"/>
                          <w:rFonts w:ascii="Calibri" w:eastAsiaTheme="majorEastAsia" w:hAnsi="Calibri" w:cs="Calibri"/>
                          <w:sz w:val="22"/>
                          <w:szCs w:val="22"/>
                        </w:rPr>
                        <w:t>Do you concur with the DSB’s proposal to implement the core functionality?</w:t>
                      </w:r>
                    </w:p>
                    <w:p w14:paraId="7261CF88" w14:textId="2E209F6E" w:rsidR="00D52BA4" w:rsidRDefault="00D52BA4" w:rsidP="00B73C4C">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Pr>
                          <w:rStyle w:val="eop"/>
                          <w:rFonts w:ascii="Calibri" w:eastAsiaTheme="majorEastAsia" w:hAnsi="Calibri" w:cs="Calibri"/>
                          <w:b/>
                          <w:sz w:val="22"/>
                          <w:szCs w:val="22"/>
                        </w:rPr>
                        <w:t xml:space="preserve">CP2 </w:t>
                      </w:r>
                      <w:r w:rsidRPr="00B372B3">
                        <w:rPr>
                          <w:rStyle w:val="eop"/>
                          <w:rFonts w:ascii="Calibri" w:eastAsiaTheme="majorEastAsia" w:hAnsi="Calibri" w:cs="Calibri"/>
                          <w:b/>
                          <w:sz w:val="22"/>
                          <w:szCs w:val="22"/>
                        </w:rPr>
                        <w:t xml:space="preserve">Question </w:t>
                      </w:r>
                      <w:r>
                        <w:rPr>
                          <w:rStyle w:val="eop"/>
                          <w:rFonts w:ascii="Calibri" w:eastAsiaTheme="majorEastAsia" w:hAnsi="Calibri" w:cs="Calibri"/>
                          <w:b/>
                          <w:sz w:val="22"/>
                          <w:szCs w:val="22"/>
                        </w:rPr>
                        <w:t>19</w:t>
                      </w:r>
                      <w:r w:rsidRPr="00B372B3">
                        <w:rPr>
                          <w:rStyle w:val="eop"/>
                          <w:rFonts w:ascii="Calibri" w:eastAsiaTheme="majorEastAsia" w:hAnsi="Calibri" w:cs="Calibri"/>
                          <w:b/>
                          <w:sz w:val="22"/>
                          <w:szCs w:val="22"/>
                        </w:rPr>
                        <w:t>(b):</w:t>
                      </w:r>
                      <w:r w:rsidRPr="00B372B3">
                        <w:rPr>
                          <w:rStyle w:val="eop"/>
                          <w:rFonts w:ascii="Calibri" w:eastAsiaTheme="majorEastAsia" w:hAnsi="Calibri" w:cs="Calibri"/>
                          <w:sz w:val="22"/>
                          <w:szCs w:val="22"/>
                        </w:rPr>
                        <w:t xml:space="preserve"> Do you concur with the implementation of the API functionality?</w:t>
                      </w:r>
                    </w:p>
                  </w:txbxContent>
                </v:textbox>
                <w10:wrap type="tight" anchorx="margin"/>
              </v:shape>
            </w:pict>
          </mc:Fallback>
        </mc:AlternateContent>
      </w:r>
      <w:r w:rsidR="00A66A4D" w:rsidRPr="00660B0D">
        <w:rPr>
          <w:rFonts w:ascii="Calibri" w:hAnsi="Calibri" w:cs="Calibri"/>
          <w:sz w:val="22"/>
          <w:szCs w:val="22"/>
        </w:rPr>
        <w:t>DSB will not progress where run or build costs exceed the amounts set out in this document</w:t>
      </w:r>
      <w:r w:rsidR="00356031">
        <w:rPr>
          <w:rFonts w:ascii="Calibri" w:hAnsi="Calibri" w:cs="Calibri"/>
          <w:sz w:val="22"/>
          <w:szCs w:val="22"/>
        </w:rPr>
        <w:t>.</w:t>
      </w:r>
      <w:r w:rsidR="00A66A4D" w:rsidRPr="00660B0D">
        <w:rPr>
          <w:rFonts w:ascii="Calibri" w:hAnsi="Calibri" w:cs="Calibri"/>
          <w:sz w:val="22"/>
          <w:szCs w:val="22"/>
        </w:rPr>
        <w:t> </w:t>
      </w:r>
    </w:p>
    <w:p w14:paraId="2B5A4BE6" w14:textId="0A5EB840" w:rsidR="00434D81" w:rsidRDefault="00434D81" w:rsidP="00434D81">
      <w:pPr>
        <w:pStyle w:val="Heading2"/>
        <w:spacing w:after="240"/>
      </w:pPr>
      <w:bookmarkStart w:id="103" w:name="_Toc13087151"/>
      <w:bookmarkStart w:id="104" w:name="_Toc13157237"/>
      <w:r>
        <w:lastRenderedPageBreak/>
        <w:t>SERVICE AVAILABILITY</w:t>
      </w:r>
      <w:bookmarkEnd w:id="103"/>
      <w:bookmarkEnd w:id="104"/>
    </w:p>
    <w:p w14:paraId="421E757F" w14:textId="21B75A49" w:rsidR="00434D81" w:rsidRDefault="00434D81" w:rsidP="00434D81">
      <w:r>
        <w:t xml:space="preserve">The DSB consulted on </w:t>
      </w:r>
      <w:r w:rsidRPr="00434D81">
        <w:t xml:space="preserve">a </w:t>
      </w:r>
      <w:r>
        <w:t>proposed change to service availability, based on TAC deliberations in the past 12 months. The responses are summarised below, together with the DSB’s analysis of the responses and proposed next steps.</w:t>
      </w:r>
    </w:p>
    <w:tbl>
      <w:tblPr>
        <w:tblStyle w:val="GridTable5Dark-Accent1"/>
        <w:tblW w:w="8663"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2830"/>
        <w:gridCol w:w="3402"/>
        <w:gridCol w:w="2431"/>
      </w:tblGrid>
      <w:tr w:rsidR="00DA7FD4" w14:paraId="6BA07CA7" w14:textId="77777777" w:rsidTr="004326DA">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1C909CA" w14:textId="6E7A5053" w:rsidR="00253E24" w:rsidRDefault="00253E24" w:rsidP="00944AAF">
            <w:pPr>
              <w:spacing w:before="120" w:line="276" w:lineRule="auto"/>
            </w:pPr>
            <w:r>
              <w:t>SERVICE AVAILABILITY</w:t>
            </w:r>
          </w:p>
        </w:tc>
        <w:tc>
          <w:tcPr>
            <w:tcW w:w="3402" w:type="dxa"/>
            <w:vAlign w:val="center"/>
          </w:tcPr>
          <w:p w14:paraId="7889686A" w14:textId="77777777" w:rsidR="00253E24" w:rsidRDefault="00253E24" w:rsidP="00944AAF">
            <w:pPr>
              <w:spacing w:before="120" w:line="276" w:lineRule="auto"/>
              <w:jc w:val="center"/>
              <w:cnfStyle w:val="100000000000" w:firstRow="1" w:lastRow="0" w:firstColumn="0" w:lastColumn="0" w:oddVBand="0" w:evenVBand="0" w:oddHBand="0" w:evenHBand="0" w:firstRowFirstColumn="0" w:firstRowLastColumn="0" w:lastRowFirstColumn="0" w:lastRowLastColumn="0"/>
            </w:pPr>
            <w:r>
              <w:t>NEXT STEPS</w:t>
            </w:r>
          </w:p>
        </w:tc>
        <w:tc>
          <w:tcPr>
            <w:tcW w:w="2431" w:type="dxa"/>
            <w:vAlign w:val="center"/>
          </w:tcPr>
          <w:p w14:paraId="4A77A923" w14:textId="77777777" w:rsidR="00253E24" w:rsidRDefault="00253E24" w:rsidP="00944AAF">
            <w:pPr>
              <w:spacing w:before="120" w:line="276" w:lineRule="auto"/>
              <w:cnfStyle w:val="100000000000" w:firstRow="1" w:lastRow="0" w:firstColumn="0" w:lastColumn="0" w:oddVBand="0" w:evenVBand="0" w:oddHBand="0" w:evenHBand="0" w:firstRowFirstColumn="0" w:firstRowLastColumn="0" w:lastRowFirstColumn="0" w:lastRowLastColumn="0"/>
            </w:pPr>
            <w:r>
              <w:t>COST IMPACT</w:t>
            </w:r>
          </w:p>
        </w:tc>
      </w:tr>
      <w:tr w:rsidR="00253E24" w14:paraId="66A1ACFB" w14:textId="77777777" w:rsidTr="004326D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6DB03D0" w14:textId="1F7153B4" w:rsidR="00253E24" w:rsidRPr="0055609B" w:rsidRDefault="000D0AD1" w:rsidP="00944AAF">
            <w:pPr>
              <w:spacing w:before="120" w:line="276" w:lineRule="auto"/>
              <w:rPr>
                <w:b w:val="0"/>
              </w:rPr>
            </w:pPr>
            <w:r>
              <w:rPr>
                <w:b w:val="0"/>
              </w:rPr>
              <w:t>Downtime Window</w:t>
            </w:r>
          </w:p>
        </w:tc>
        <w:tc>
          <w:tcPr>
            <w:tcW w:w="3402" w:type="dxa"/>
            <w:shd w:val="clear" w:color="auto" w:fill="auto"/>
            <w:vAlign w:val="center"/>
          </w:tcPr>
          <w:p w14:paraId="1B2E00D5" w14:textId="4CD41927" w:rsidR="00253E24" w:rsidRDefault="00253E24" w:rsidP="00944AAF">
            <w:pPr>
              <w:spacing w:before="120" w:line="276" w:lineRule="auto"/>
              <w:jc w:val="center"/>
              <w:cnfStyle w:val="000000100000" w:firstRow="0" w:lastRow="0" w:firstColumn="0" w:lastColumn="0" w:oddVBand="0" w:evenVBand="0" w:oddHBand="1" w:evenHBand="0" w:firstRowFirstColumn="0" w:firstRowLastColumn="0" w:lastRowFirstColumn="0" w:lastRowLastColumn="0"/>
            </w:pPr>
            <w:r>
              <w:t>Further Consultation</w:t>
            </w:r>
          </w:p>
        </w:tc>
        <w:tc>
          <w:tcPr>
            <w:tcW w:w="2431" w:type="dxa"/>
            <w:shd w:val="clear" w:color="auto" w:fill="auto"/>
            <w:vAlign w:val="center"/>
          </w:tcPr>
          <w:p w14:paraId="4EE29CAE" w14:textId="37A21A13" w:rsidR="00253E24" w:rsidRPr="00F25D27" w:rsidRDefault="00253E24" w:rsidP="00944AAF">
            <w:pPr>
              <w:pStyle w:val="ListParagraph"/>
              <w:numPr>
                <w:ilvl w:val="0"/>
                <w:numId w:val="46"/>
              </w:numPr>
              <w:spacing w:before="120" w:line="276" w:lineRule="auto"/>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F25D27">
              <w:rPr>
                <w:rFonts w:eastAsia="Times New Roman"/>
                <w:color w:val="000000"/>
                <w:lang w:eastAsia="en-GB"/>
              </w:rPr>
              <w:t>2020</w:t>
            </w:r>
            <w:r w:rsidR="005B1723">
              <w:rPr>
                <w:rFonts w:eastAsia="Times New Roman"/>
                <w:color w:val="000000"/>
                <w:lang w:eastAsia="en-GB"/>
              </w:rPr>
              <w:t>-</w:t>
            </w:r>
            <w:r w:rsidRPr="00F25D27">
              <w:rPr>
                <w:rFonts w:eastAsia="Times New Roman"/>
                <w:color w:val="000000"/>
                <w:lang w:eastAsia="en-GB"/>
              </w:rPr>
              <w:t>:</w:t>
            </w:r>
            <w:r w:rsidR="005B1723">
              <w:rPr>
                <w:rFonts w:eastAsia="Times New Roman"/>
                <w:color w:val="000000"/>
                <w:lang w:eastAsia="en-GB"/>
              </w:rPr>
              <w:tab/>
            </w:r>
            <w:r w:rsidRPr="00F25D27">
              <w:rPr>
                <w:rFonts w:eastAsia="Times New Roman"/>
                <w:color w:val="000000"/>
                <w:lang w:eastAsia="en-GB"/>
              </w:rPr>
              <w:t>None</w:t>
            </w:r>
          </w:p>
        </w:tc>
      </w:tr>
      <w:tr w:rsidR="00597165" w14:paraId="557309D1"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3E5F7B4" w14:textId="60CF2963" w:rsidR="00597165" w:rsidRPr="00F25D27" w:rsidRDefault="00597165" w:rsidP="00944AAF">
            <w:pPr>
              <w:spacing w:before="120" w:line="276" w:lineRule="auto"/>
              <w:rPr>
                <w:b w:val="0"/>
                <w:bCs w:val="0"/>
              </w:rPr>
            </w:pPr>
          </w:p>
        </w:tc>
        <w:tc>
          <w:tcPr>
            <w:tcW w:w="3402" w:type="dxa"/>
            <w:shd w:val="clear" w:color="auto" w:fill="BDD6EE" w:themeFill="accent1" w:themeFillTint="66"/>
            <w:vAlign w:val="center"/>
          </w:tcPr>
          <w:p w14:paraId="5FFE1F24" w14:textId="12182951" w:rsidR="00597165" w:rsidRPr="00F25D27" w:rsidRDefault="00597165" w:rsidP="00944AAF">
            <w:pPr>
              <w:spacing w:before="120" w:line="276" w:lineRule="auto"/>
              <w:cnfStyle w:val="000000000000" w:firstRow="0" w:lastRow="0" w:firstColumn="0" w:lastColumn="0" w:oddVBand="0" w:evenVBand="0" w:oddHBand="0" w:evenHBand="0" w:firstRowFirstColumn="0" w:firstRowLastColumn="0" w:lastRowFirstColumn="0" w:lastRowLastColumn="0"/>
            </w:pPr>
            <w:r w:rsidRPr="00F60ED8">
              <w:t>TOTAL</w:t>
            </w:r>
          </w:p>
        </w:tc>
        <w:tc>
          <w:tcPr>
            <w:tcW w:w="2431" w:type="dxa"/>
            <w:shd w:val="clear" w:color="auto" w:fill="BDD6EE" w:themeFill="accent1" w:themeFillTint="66"/>
            <w:vAlign w:val="center"/>
          </w:tcPr>
          <w:p w14:paraId="595CBAB1" w14:textId="067396AE" w:rsidR="00597165" w:rsidRPr="00815088" w:rsidRDefault="00597165" w:rsidP="00944AAF">
            <w:pPr>
              <w:pStyle w:val="ListParagraph"/>
              <w:numPr>
                <w:ilvl w:val="0"/>
                <w:numId w:val="46"/>
              </w:numPr>
              <w:spacing w:before="120" w:line="276" w:lineRule="auto"/>
              <w:contextualSpacing w:val="0"/>
              <w:cnfStyle w:val="000000000000" w:firstRow="0" w:lastRow="0" w:firstColumn="0" w:lastColumn="0" w:oddVBand="0" w:evenVBand="0" w:oddHBand="0" w:evenHBand="0" w:firstRowFirstColumn="0" w:firstRowLastColumn="0" w:lastRowFirstColumn="0" w:lastRowLastColumn="0"/>
              <w:rPr>
                <w:color w:val="000000"/>
              </w:rPr>
            </w:pPr>
            <w:r w:rsidRPr="00815088">
              <w:rPr>
                <w:color w:val="000000"/>
              </w:rPr>
              <w:t>2020</w:t>
            </w:r>
            <w:r w:rsidRPr="00944AAF">
              <w:rPr>
                <w:rFonts w:eastAsia="Times New Roman"/>
                <w:bCs/>
                <w:color w:val="000000"/>
                <w:lang w:eastAsia="en-GB"/>
              </w:rPr>
              <w:t>-:</w:t>
            </w:r>
            <w:r w:rsidRPr="00815088">
              <w:rPr>
                <w:color w:val="000000"/>
              </w:rPr>
              <w:t xml:space="preserve"> </w:t>
            </w:r>
            <w:r w:rsidRPr="00815088">
              <w:rPr>
                <w:color w:val="000000"/>
              </w:rPr>
              <w:tab/>
              <w:t>None</w:t>
            </w:r>
          </w:p>
        </w:tc>
      </w:tr>
    </w:tbl>
    <w:p w14:paraId="1CFA0C91" w14:textId="44D5A14F" w:rsidR="00434D81" w:rsidRDefault="00434D81" w:rsidP="00434D81">
      <w:pPr>
        <w:rPr>
          <w:rFonts w:ascii="Calibri" w:eastAsia="Times New Roman" w:hAnsi="Calibri" w:cs="Calibri"/>
          <w:color w:val="000000"/>
          <w:lang w:eastAsia="en-GB"/>
        </w:rPr>
      </w:pPr>
    </w:p>
    <w:p w14:paraId="529A24B2" w14:textId="77777777" w:rsidR="00815088" w:rsidRDefault="00815088" w:rsidP="00434D81">
      <w:pPr>
        <w:rPr>
          <w:rFonts w:ascii="Calibri" w:eastAsia="Times New Roman" w:hAnsi="Calibri" w:cs="Calibri"/>
          <w:color w:val="000000"/>
          <w:lang w:eastAsia="en-GB"/>
        </w:rPr>
      </w:pPr>
    </w:p>
    <w:bookmarkStart w:id="105" w:name="_Toc13087152"/>
    <w:bookmarkStart w:id="106" w:name="_Toc13157238"/>
    <w:p w14:paraId="3FC0D504" w14:textId="5FB918DE" w:rsidR="00434D81" w:rsidRDefault="00434D81" w:rsidP="00434D81">
      <w:pPr>
        <w:pStyle w:val="Heading3"/>
      </w:pPr>
      <w:r>
        <w:rPr>
          <w:noProof/>
          <w:lang w:eastAsia="en-GB"/>
        </w:rPr>
        <mc:AlternateContent>
          <mc:Choice Requires="wps">
            <w:drawing>
              <wp:anchor distT="45720" distB="45720" distL="114300" distR="114300" simplePos="0" relativeHeight="251749376" behindDoc="0" locked="0" layoutInCell="1" allowOverlap="1" wp14:anchorId="7F89060A" wp14:editId="5E7896D4">
                <wp:simplePos x="0" y="0"/>
                <wp:positionH relativeFrom="margin">
                  <wp:align>right</wp:align>
                </wp:positionH>
                <wp:positionV relativeFrom="paragraph">
                  <wp:posOffset>301486</wp:posOffset>
                </wp:positionV>
                <wp:extent cx="5716905" cy="1404620"/>
                <wp:effectExtent l="0" t="0" r="1714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0EF960C0" w14:textId="12C9C071" w:rsidR="00D52BA4" w:rsidRDefault="00D52BA4" w:rsidP="00434D81">
                            <w:r>
                              <w:rPr>
                                <w:rStyle w:val="normaltextrun"/>
                                <w:rFonts w:ascii="Calibri" w:hAnsi="Calibri" w:cs="Calibri"/>
                                <w:b/>
                                <w:bCs/>
                                <w:color w:val="000000"/>
                              </w:rPr>
                              <w:t xml:space="preserve">CP1 Question: </w:t>
                            </w:r>
                            <w:r w:rsidRPr="00434D81">
                              <w:rPr>
                                <w:rStyle w:val="normaltextrun"/>
                                <w:rFonts w:ascii="Calibri" w:hAnsi="Calibri" w:cs="Calibri"/>
                                <w:bCs/>
                                <w:color w:val="000000"/>
                              </w:rPr>
                              <w:t>Should the DSB’s downtime hours be change to between 00:30AM Sunday UTC and 12:30PM Sunday UTC?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89060A" id="_x0000_s1065" type="#_x0000_t202" style="position:absolute;left:0;text-align:left;margin-left:398.95pt;margin-top:23.75pt;width:450.15pt;height:110.6pt;z-index:2517493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tMKQ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">
                <v:textbox style="mso-fit-shape-to-text:t">
                  <w:txbxContent>
                    <w:p w14:paraId="0EF960C0" w14:textId="12C9C071" w:rsidR="00D52BA4" w:rsidRDefault="00D52BA4" w:rsidP="00434D81">
                      <w:r>
                        <w:rPr>
                          <w:rStyle w:val="normaltextrun"/>
                          <w:rFonts w:ascii="Calibri" w:hAnsi="Calibri" w:cs="Calibri"/>
                          <w:b/>
                          <w:bCs/>
                          <w:color w:val="000000"/>
                        </w:rPr>
                        <w:t xml:space="preserve">CP1 Question: </w:t>
                      </w:r>
                      <w:r w:rsidRPr="00434D81">
                        <w:rPr>
                          <w:rStyle w:val="normaltextrun"/>
                          <w:rFonts w:ascii="Calibri" w:hAnsi="Calibri" w:cs="Calibri"/>
                          <w:bCs/>
                          <w:color w:val="000000"/>
                        </w:rPr>
                        <w:t>Should the DSB’s downtime hours be change to between 00:30AM Sunday UTC and 12:30PM Sunday UTC?</w:t>
                      </w:r>
                    </w:p>
                  </w:txbxContent>
                </v:textbox>
                <w10:wrap type="square" anchorx="margin"/>
              </v:shape>
            </w:pict>
          </mc:Fallback>
        </mc:AlternateContent>
      </w:r>
      <w:r>
        <w:t>Q4.1 – DOWNTIME WINDOW</w:t>
      </w:r>
      <w:bookmarkEnd w:id="105"/>
      <w:bookmarkEnd w:id="106"/>
    </w:p>
    <w:p w14:paraId="63B8D916" w14:textId="7BD2C413" w:rsidR="00434D81" w:rsidRDefault="00434D81" w:rsidP="00944AAF">
      <w:pPr>
        <w:spacing w:before="240"/>
        <w:rPr>
          <w:u w:val="single"/>
        </w:rPr>
      </w:pPr>
      <w:r>
        <w:rPr>
          <w:u w:val="single"/>
        </w:rPr>
        <w:t>Industry Responses</w:t>
      </w:r>
    </w:p>
    <w:p w14:paraId="1D3AA9D1" w14:textId="77777777" w:rsidR="00434D81" w:rsidRPr="00BB1C2A" w:rsidRDefault="00434D81" w:rsidP="00434D81">
      <w:pPr>
        <w:spacing w:after="240" w:line="276" w:lineRule="auto"/>
      </w:pPr>
      <w:r>
        <w:t>The responses received to the question posed in the first consultation are set out below</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434D81" w:rsidRPr="00AF26B0" w14:paraId="07F17694" w14:textId="77777777" w:rsidTr="00434D81">
        <w:trPr>
          <w:trHeight w:val="288"/>
        </w:trPr>
        <w:tc>
          <w:tcPr>
            <w:tcW w:w="2127" w:type="dxa"/>
            <w:vMerge w:val="restart"/>
            <w:shd w:val="clear" w:color="auto" w:fill="auto"/>
            <w:noWrap/>
            <w:vAlign w:val="center"/>
            <w:hideMark/>
          </w:tcPr>
          <w:p w14:paraId="5C247DA8" w14:textId="77777777" w:rsidR="00434D81" w:rsidRPr="00AF26B0" w:rsidRDefault="00434D81" w:rsidP="00434D81">
            <w:pPr>
              <w:spacing w:after="0" w:line="276"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7EF58226" w14:textId="77777777" w:rsidR="00434D81" w:rsidRPr="00AF26B0" w:rsidRDefault="00434D81" w:rsidP="00434D81">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2B8EF021" w14:textId="77777777" w:rsidR="00434D81" w:rsidRPr="00AF26B0" w:rsidRDefault="00434D81" w:rsidP="00434D81">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No</w:t>
            </w:r>
          </w:p>
        </w:tc>
      </w:tr>
      <w:tr w:rsidR="00434D81" w:rsidRPr="00AF26B0" w14:paraId="4B917B65" w14:textId="77777777" w:rsidTr="00434D81">
        <w:trPr>
          <w:trHeight w:val="288"/>
        </w:trPr>
        <w:tc>
          <w:tcPr>
            <w:tcW w:w="2127" w:type="dxa"/>
            <w:vMerge/>
            <w:vAlign w:val="center"/>
            <w:hideMark/>
          </w:tcPr>
          <w:p w14:paraId="555EB008" w14:textId="77777777" w:rsidR="00434D81" w:rsidRPr="00AF26B0" w:rsidRDefault="00434D81" w:rsidP="00434D81">
            <w:pPr>
              <w:spacing w:after="0" w:line="276" w:lineRule="auto"/>
              <w:rPr>
                <w:rFonts w:ascii="Times New Roman" w:eastAsia="Times New Roman" w:hAnsi="Times New Roman" w:cs="Times New Roman"/>
                <w:sz w:val="24"/>
                <w:szCs w:val="24"/>
                <w:lang w:eastAsia="en-GB"/>
              </w:rPr>
            </w:pPr>
          </w:p>
        </w:tc>
        <w:tc>
          <w:tcPr>
            <w:tcW w:w="289" w:type="dxa"/>
            <w:shd w:val="clear" w:color="000000" w:fill="F8E984"/>
            <w:noWrap/>
            <w:vAlign w:val="center"/>
            <w:hideMark/>
          </w:tcPr>
          <w:p w14:paraId="2C93F973" w14:textId="77777777" w:rsidR="00434D81" w:rsidRPr="00AF26B0" w:rsidRDefault="00434D81" w:rsidP="00434D81">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3</w:t>
            </w:r>
          </w:p>
        </w:tc>
        <w:tc>
          <w:tcPr>
            <w:tcW w:w="656" w:type="dxa"/>
            <w:shd w:val="clear" w:color="000000" w:fill="F8696B"/>
            <w:noWrap/>
            <w:vAlign w:val="center"/>
            <w:hideMark/>
          </w:tcPr>
          <w:p w14:paraId="43D582C0" w14:textId="77777777" w:rsidR="00434D81" w:rsidRPr="00AF26B0" w:rsidRDefault="00434D81" w:rsidP="00434D81">
            <w:pPr>
              <w:spacing w:after="0" w:line="276" w:lineRule="auto"/>
              <w:jc w:val="center"/>
              <w:rPr>
                <w:rFonts w:ascii="Calibri" w:eastAsia="Times New Roman" w:hAnsi="Calibri" w:cs="Calibri"/>
                <w:b/>
                <w:bCs/>
                <w:color w:val="000000"/>
                <w:sz w:val="21"/>
                <w:szCs w:val="21"/>
                <w:lang w:eastAsia="en-GB"/>
              </w:rPr>
            </w:pPr>
            <w:r w:rsidRPr="00AF26B0">
              <w:rPr>
                <w:rFonts w:ascii="Calibri" w:eastAsia="Times New Roman" w:hAnsi="Calibri" w:cs="Calibri"/>
                <w:b/>
                <w:bCs/>
                <w:color w:val="000000"/>
                <w:sz w:val="21"/>
                <w:szCs w:val="21"/>
                <w:lang w:eastAsia="en-GB"/>
              </w:rPr>
              <w:t>1</w:t>
            </w:r>
          </w:p>
        </w:tc>
      </w:tr>
      <w:tr w:rsidR="00434D81" w:rsidRPr="00AF26B0" w14:paraId="7BD3F5E7" w14:textId="77777777" w:rsidTr="00434D81">
        <w:trPr>
          <w:trHeight w:val="288"/>
        </w:trPr>
        <w:tc>
          <w:tcPr>
            <w:tcW w:w="2127" w:type="dxa"/>
            <w:shd w:val="clear" w:color="auto" w:fill="auto"/>
            <w:noWrap/>
            <w:vAlign w:val="center"/>
            <w:hideMark/>
          </w:tcPr>
          <w:p w14:paraId="2737B5F3" w14:textId="77777777" w:rsidR="00434D81" w:rsidRPr="00AF26B0" w:rsidRDefault="00434D81" w:rsidP="00434D81">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1F4BE01B" w14:textId="77777777" w:rsidR="00434D81" w:rsidRPr="00FA4DA7" w:rsidRDefault="00434D81" w:rsidP="00434D81">
            <w:pPr>
              <w:spacing w:after="0" w:line="276" w:lineRule="auto"/>
              <w:jc w:val="center"/>
              <w:rPr>
                <w:rFonts w:ascii="Calibri" w:eastAsia="Times New Roman" w:hAnsi="Calibri" w:cs="Calibri"/>
                <w:color w:val="FFFFFF" w:themeColor="background1"/>
                <w:sz w:val="21"/>
                <w:szCs w:val="21"/>
                <w:lang w:eastAsia="en-GB"/>
              </w:rPr>
            </w:pPr>
            <w:r w:rsidRPr="00FA4DA7">
              <w:rPr>
                <w:rFonts w:ascii="Calibri" w:eastAsia="Times New Roman" w:hAnsi="Calibri" w:cs="Calibri"/>
                <w:color w:val="FFFFFF" w:themeColor="background1"/>
                <w:sz w:val="21"/>
                <w:szCs w:val="21"/>
                <w:lang w:eastAsia="en-GB"/>
              </w:rPr>
              <w:t>0</w:t>
            </w:r>
          </w:p>
        </w:tc>
        <w:tc>
          <w:tcPr>
            <w:tcW w:w="656" w:type="dxa"/>
            <w:shd w:val="clear" w:color="auto" w:fill="auto"/>
            <w:noWrap/>
            <w:vAlign w:val="center"/>
            <w:hideMark/>
          </w:tcPr>
          <w:p w14:paraId="3CE12175" w14:textId="77777777" w:rsidR="00434D81" w:rsidRPr="00FA4DA7" w:rsidRDefault="00434D81" w:rsidP="00434D81">
            <w:pPr>
              <w:spacing w:after="0" w:line="276" w:lineRule="auto"/>
              <w:jc w:val="center"/>
              <w:rPr>
                <w:rFonts w:ascii="Calibri" w:eastAsia="Times New Roman" w:hAnsi="Calibri" w:cs="Calibri"/>
                <w:color w:val="FFFFFF" w:themeColor="background1"/>
                <w:sz w:val="21"/>
                <w:szCs w:val="21"/>
                <w:lang w:eastAsia="en-GB"/>
              </w:rPr>
            </w:pPr>
            <w:r w:rsidRPr="00FA4DA7">
              <w:rPr>
                <w:rFonts w:ascii="Calibri" w:eastAsia="Times New Roman" w:hAnsi="Calibri" w:cs="Calibri"/>
                <w:color w:val="FFFFFF" w:themeColor="background1"/>
                <w:sz w:val="21"/>
                <w:szCs w:val="21"/>
                <w:lang w:eastAsia="en-GB"/>
              </w:rPr>
              <w:t>0</w:t>
            </w:r>
          </w:p>
        </w:tc>
      </w:tr>
      <w:tr w:rsidR="00434D81" w:rsidRPr="00AF26B0" w14:paraId="32671D1C" w14:textId="77777777" w:rsidTr="00434D81">
        <w:trPr>
          <w:trHeight w:val="288"/>
        </w:trPr>
        <w:tc>
          <w:tcPr>
            <w:tcW w:w="2127" w:type="dxa"/>
            <w:shd w:val="clear" w:color="auto" w:fill="auto"/>
            <w:noWrap/>
            <w:vAlign w:val="center"/>
            <w:hideMark/>
          </w:tcPr>
          <w:p w14:paraId="0D8D9E00" w14:textId="77777777" w:rsidR="00434D81" w:rsidRPr="00AF26B0" w:rsidRDefault="00434D81" w:rsidP="00434D81">
            <w:pPr>
              <w:spacing w:after="0" w:line="276" w:lineRule="auto"/>
              <w:jc w:val="right"/>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0CF31BE0" w14:textId="77777777" w:rsidR="00434D81" w:rsidRPr="00AF26B0" w:rsidRDefault="00434D81" w:rsidP="00434D81">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3</w:t>
            </w:r>
          </w:p>
        </w:tc>
        <w:tc>
          <w:tcPr>
            <w:tcW w:w="656" w:type="dxa"/>
            <w:shd w:val="clear" w:color="auto" w:fill="auto"/>
            <w:noWrap/>
            <w:vAlign w:val="center"/>
            <w:hideMark/>
          </w:tcPr>
          <w:p w14:paraId="65812ADA" w14:textId="77777777" w:rsidR="00434D81" w:rsidRPr="00AF26B0" w:rsidRDefault="00434D81" w:rsidP="00434D81">
            <w:pPr>
              <w:spacing w:after="0" w:line="276" w:lineRule="auto"/>
              <w:jc w:val="center"/>
              <w:rPr>
                <w:rFonts w:ascii="Calibri" w:eastAsia="Times New Roman" w:hAnsi="Calibri" w:cs="Calibri"/>
                <w:color w:val="000000"/>
                <w:sz w:val="21"/>
                <w:szCs w:val="21"/>
                <w:lang w:eastAsia="en-GB"/>
              </w:rPr>
            </w:pPr>
            <w:r w:rsidRPr="00AF26B0">
              <w:rPr>
                <w:rFonts w:ascii="Calibri" w:eastAsia="Times New Roman" w:hAnsi="Calibri" w:cs="Calibri"/>
                <w:color w:val="000000"/>
                <w:sz w:val="21"/>
                <w:szCs w:val="21"/>
                <w:lang w:eastAsia="en-GB"/>
              </w:rPr>
              <w:t>1</w:t>
            </w:r>
          </w:p>
        </w:tc>
      </w:tr>
    </w:tbl>
    <w:p w14:paraId="35A78443" w14:textId="7CE1DC72" w:rsidR="00434D81" w:rsidRDefault="00434D81" w:rsidP="00434D81">
      <w:pPr>
        <w:spacing w:before="240" w:line="276" w:lineRule="auto"/>
      </w:pPr>
      <w:r>
        <w:t>On balance responders w</w:t>
      </w:r>
      <w:r w:rsidR="00A857D9">
        <w:t>ere ok with the proposal, with only one negative comment. However, the number of responders was low. The DSB subsequently reached out to the negative responder and received clarification that this was not a showstopper issue for them.</w:t>
      </w:r>
    </w:p>
    <w:p w14:paraId="456D0AA4" w14:textId="2E4C1822" w:rsidR="00434D81" w:rsidRDefault="00434D81" w:rsidP="00944AAF">
      <w:pPr>
        <w:spacing w:before="240"/>
        <w:rPr>
          <w:u w:val="single"/>
        </w:rPr>
      </w:pPr>
      <w:r>
        <w:rPr>
          <w:u w:val="single"/>
        </w:rPr>
        <w:t>Analysis of Responses</w:t>
      </w:r>
    </w:p>
    <w:p w14:paraId="3846A28C" w14:textId="48097E46" w:rsidR="00434D81" w:rsidRDefault="00A857D9" w:rsidP="00434D81">
      <w:r>
        <w:t>The DSB believes that r</w:t>
      </w:r>
      <w:r w:rsidR="00434D81">
        <w:t>espondents were largely silent on this query in light of the detailed discussions a</w:t>
      </w:r>
      <w:r>
        <w:t>t</w:t>
      </w:r>
      <w:r w:rsidR="00434D81">
        <w:t xml:space="preserve"> DSB TAC meetings.</w:t>
      </w:r>
      <w:r>
        <w:t xml:space="preserve"> In particular, if the hours were likely to cause a concern then there would have been more industry responses. </w:t>
      </w:r>
    </w:p>
    <w:p w14:paraId="68C5D090" w14:textId="46FAEB83" w:rsidR="00A857D9" w:rsidRDefault="00A857D9" w:rsidP="00A857D9">
      <w:pPr>
        <w:spacing w:before="240" w:after="240" w:line="276" w:lineRule="auto"/>
      </w:pPr>
      <w:r>
        <w:t>The consultation responses were reviewed at the 18 June TAC meeting, and there was general consensus to provide a final opportunity for industry feedback, after which the default option will be to implement the proposed change to the downtime period.</w:t>
      </w:r>
    </w:p>
    <w:p w14:paraId="2329E991" w14:textId="6FC9E0B8" w:rsidR="00A857D9" w:rsidRPr="005C59DB" w:rsidRDefault="00A857D9" w:rsidP="00A857D9">
      <w:pPr>
        <w:spacing w:before="240" w:after="240" w:line="276" w:lineRule="auto"/>
      </w:pPr>
      <w:r>
        <w:lastRenderedPageBreak/>
        <w:t>As a reminder, the rationale for the change is to address a corner case defect in a zero-cost manner. The alternative will likely involve incremental costs related design, build, test and deployment to address a complex but rare scenario related to reconciliation of DSB database with user caches.</w:t>
      </w:r>
      <w:r>
        <w:rPr>
          <w:rStyle w:val="FootnoteReference"/>
        </w:rPr>
        <w:footnoteReference w:id="17"/>
      </w:r>
      <w:r>
        <w:t xml:space="preserve"> </w:t>
      </w:r>
    </w:p>
    <w:p w14:paraId="033E13C4" w14:textId="5509B3A1" w:rsidR="00434D81" w:rsidRDefault="00434D81" w:rsidP="00944AAF">
      <w:pPr>
        <w:spacing w:before="240"/>
        <w:rPr>
          <w:u w:val="single"/>
        </w:rPr>
      </w:pPr>
      <w:r>
        <w:rPr>
          <w:u w:val="single"/>
        </w:rPr>
        <w:t>DSB Proposed Next Steps</w:t>
      </w:r>
    </w:p>
    <w:p w14:paraId="68671172" w14:textId="446D4F0C" w:rsidR="00A857D9" w:rsidRDefault="00A857D9" w:rsidP="00A857D9">
      <w:pPr>
        <w:spacing w:before="60" w:after="60" w:line="276" w:lineRule="auto"/>
      </w:pPr>
      <w:r w:rsidRPr="00391281">
        <w:t xml:space="preserve">The DSB proposes to </w:t>
      </w:r>
      <w:r>
        <w:t xml:space="preserve">implement the downtime model </w:t>
      </w:r>
      <w:r w:rsidRPr="00434D81">
        <w:rPr>
          <w:rStyle w:val="normaltextrun"/>
          <w:rFonts w:ascii="Calibri" w:hAnsi="Calibri" w:cs="Calibri"/>
          <w:bCs/>
          <w:color w:val="000000"/>
        </w:rPr>
        <w:t>to between 00:30AM Sunday UTC and 12:30PM Sunday UTC</w:t>
      </w:r>
      <w:r w:rsidR="00F36608">
        <w:rPr>
          <w:rStyle w:val="normaltextrun"/>
          <w:rFonts w:ascii="Calibri" w:hAnsi="Calibri" w:cs="Calibri"/>
          <w:bCs/>
          <w:color w:val="000000"/>
        </w:rPr>
        <w:t>. This change incurs no incremental costs as it can be performed by existing business as usual resources</w:t>
      </w:r>
      <w:r w:rsidRPr="00A857D9">
        <w:t>.</w:t>
      </w:r>
    </w:p>
    <w:p w14:paraId="04E99B38" w14:textId="307E68EF" w:rsidR="002C74B9" w:rsidRDefault="008A18E5">
      <w:r w:rsidRPr="00BB1525">
        <w:rPr>
          <w:noProof/>
          <w:lang w:eastAsia="en-GB"/>
        </w:rPr>
        <mc:AlternateContent>
          <mc:Choice Requires="wps">
            <w:drawing>
              <wp:anchor distT="45720" distB="45720" distL="114300" distR="114300" simplePos="0" relativeHeight="251757568" behindDoc="1" locked="0" layoutInCell="1" allowOverlap="1" wp14:anchorId="5AEA6374" wp14:editId="533F3E7F">
                <wp:simplePos x="0" y="0"/>
                <wp:positionH relativeFrom="margin">
                  <wp:posOffset>-91440</wp:posOffset>
                </wp:positionH>
                <wp:positionV relativeFrom="paragraph">
                  <wp:posOffset>448945</wp:posOffset>
                </wp:positionV>
                <wp:extent cx="5716905" cy="1404620"/>
                <wp:effectExtent l="0" t="0" r="17145" b="24130"/>
                <wp:wrapTight wrapText="bothSides">
                  <wp:wrapPolygon edited="0">
                    <wp:start x="0" y="0"/>
                    <wp:lineTo x="0" y="21745"/>
                    <wp:lineTo x="21593" y="21745"/>
                    <wp:lineTo x="21593" y="0"/>
                    <wp:lineTo x="0" y="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0014D2A" w14:textId="3491076B" w:rsidR="00D52BA4" w:rsidRPr="00454808" w:rsidRDefault="00D52BA4" w:rsidP="00434D8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454808">
                              <w:rPr>
                                <w:rStyle w:val="normaltextrun"/>
                                <w:rFonts w:ascii="Calibri" w:hAnsi="Calibri" w:cs="Calibri"/>
                                <w:b/>
                                <w:color w:val="000000"/>
                                <w:sz w:val="22"/>
                                <w:szCs w:val="22"/>
                              </w:rPr>
                              <w:t xml:space="preserve">CP2 Question </w:t>
                            </w:r>
                            <w:r>
                              <w:rPr>
                                <w:rStyle w:val="normaltextrun"/>
                                <w:rFonts w:ascii="Calibri" w:hAnsi="Calibri" w:cs="Calibri"/>
                                <w:b/>
                                <w:color w:val="000000"/>
                                <w:sz w:val="22"/>
                                <w:szCs w:val="22"/>
                              </w:rPr>
                              <w:t>20</w:t>
                            </w:r>
                            <w:r w:rsidRPr="00454808">
                              <w:rPr>
                                <w:rStyle w:val="eop"/>
                                <w:rFonts w:ascii="Calibri" w:eastAsiaTheme="majorEastAsia" w:hAnsi="Calibri" w:cs="Calibri"/>
                                <w:sz w:val="22"/>
                                <w:szCs w:val="22"/>
                              </w:rPr>
                              <w:t xml:space="preserve">: Do you concur with the DSB’s proposal to change the </w:t>
                            </w:r>
                            <w:r w:rsidRPr="00454808">
                              <w:rPr>
                                <w:rStyle w:val="normaltextrun"/>
                                <w:rFonts w:ascii="Calibri" w:hAnsi="Calibri" w:cs="Calibri"/>
                                <w:bCs/>
                                <w:color w:val="000000"/>
                                <w:sz w:val="22"/>
                                <w:szCs w:val="22"/>
                              </w:rPr>
                              <w:t>DSB’s downtime hours to between 00:30AM Sunday UTC and 12:30PM Sunday UTC?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EA6374" id="Text Box 37" o:spid="_x0000_s1066" type="#_x0000_t202" style="position:absolute;margin-left:-7.2pt;margin-top:35.35pt;width:450.15pt;height:110.6pt;z-index:-251558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">
                <v:textbox style="mso-fit-shape-to-text:t">
                  <w:txbxContent>
                    <w:p w14:paraId="10014D2A" w14:textId="3491076B" w:rsidR="00D52BA4" w:rsidRPr="00454808" w:rsidRDefault="00D52BA4" w:rsidP="00434D8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454808">
                        <w:rPr>
                          <w:rStyle w:val="normaltextrun"/>
                          <w:rFonts w:ascii="Calibri" w:hAnsi="Calibri" w:cs="Calibri"/>
                          <w:b/>
                          <w:color w:val="000000"/>
                          <w:sz w:val="22"/>
                          <w:szCs w:val="22"/>
                        </w:rPr>
                        <w:t xml:space="preserve">CP2 Question </w:t>
                      </w:r>
                      <w:r>
                        <w:rPr>
                          <w:rStyle w:val="normaltextrun"/>
                          <w:rFonts w:ascii="Calibri" w:hAnsi="Calibri" w:cs="Calibri"/>
                          <w:b/>
                          <w:color w:val="000000"/>
                          <w:sz w:val="22"/>
                          <w:szCs w:val="22"/>
                        </w:rPr>
                        <w:t>20</w:t>
                      </w:r>
                      <w:r w:rsidRPr="00454808">
                        <w:rPr>
                          <w:rStyle w:val="eop"/>
                          <w:rFonts w:ascii="Calibri" w:eastAsiaTheme="majorEastAsia" w:hAnsi="Calibri" w:cs="Calibri"/>
                          <w:sz w:val="22"/>
                          <w:szCs w:val="22"/>
                        </w:rPr>
                        <w:t xml:space="preserve">: Do you concur with the DSB’s proposal to change the </w:t>
                      </w:r>
                      <w:r w:rsidRPr="00454808">
                        <w:rPr>
                          <w:rStyle w:val="normaltextrun"/>
                          <w:rFonts w:ascii="Calibri" w:hAnsi="Calibri" w:cs="Calibri"/>
                          <w:bCs/>
                          <w:color w:val="000000"/>
                          <w:sz w:val="22"/>
                          <w:szCs w:val="22"/>
                        </w:rPr>
                        <w:t>DSB’s downtime hours to between 00:30AM Sunday UTC and 12:30PM Sunday UTC?</w:t>
                      </w:r>
                    </w:p>
                  </w:txbxContent>
                </v:textbox>
                <w10:wrap type="tight" anchorx="margin"/>
              </v:shape>
            </w:pict>
          </mc:Fallback>
        </mc:AlternateContent>
      </w:r>
      <w:r w:rsidR="002C74B9">
        <w:br w:type="page"/>
      </w:r>
    </w:p>
    <w:p w14:paraId="0061A274" w14:textId="77777777" w:rsidR="00AB3E16" w:rsidRDefault="00AB3E16" w:rsidP="00AB3E16"/>
    <w:p w14:paraId="10F459A3" w14:textId="048CBE88" w:rsidR="00AB3E16" w:rsidRDefault="00AB3E16" w:rsidP="00AB3E16">
      <w:pPr>
        <w:pStyle w:val="Heading2"/>
        <w:spacing w:after="240"/>
      </w:pPr>
      <w:bookmarkStart w:id="107" w:name="_Toc13087153"/>
      <w:bookmarkStart w:id="108" w:name="_Toc13157239"/>
      <w:r>
        <w:t>CYBERSECURITY</w:t>
      </w:r>
      <w:bookmarkEnd w:id="107"/>
      <w:bookmarkEnd w:id="108"/>
    </w:p>
    <w:p w14:paraId="091F6EBA" w14:textId="0E1D782E" w:rsidR="00AB3E16" w:rsidRDefault="00AB3E16" w:rsidP="00AB3E16">
      <w:r>
        <w:t xml:space="preserve">The DSB consulted on </w:t>
      </w:r>
      <w:r w:rsidR="00061B9D" w:rsidRPr="00061B9D">
        <w:t>5</w:t>
      </w:r>
      <w:r>
        <w:t xml:space="preserve"> proposed </w:t>
      </w:r>
      <w:r w:rsidR="00061B9D">
        <w:t>changes</w:t>
      </w:r>
      <w:r>
        <w:t xml:space="preserve"> </w:t>
      </w:r>
      <w:r w:rsidR="00061B9D">
        <w:t>related to the DSB’s cyber-security governance arrangements</w:t>
      </w:r>
      <w:r>
        <w:t xml:space="preserve">, based on user </w:t>
      </w:r>
      <w:r w:rsidR="00061B9D">
        <w:t xml:space="preserve">and regulatory </w:t>
      </w:r>
      <w:r>
        <w:t>feedback received in the past 12 months. The responses are summarised below, together with the DSB’s analysis and proposed next steps.</w:t>
      </w:r>
    </w:p>
    <w:tbl>
      <w:tblPr>
        <w:tblStyle w:val="GridTable5Dark-Accent1"/>
        <w:tblW w:w="8926"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1129"/>
        <w:gridCol w:w="3402"/>
        <w:gridCol w:w="1352"/>
        <w:gridCol w:w="3043"/>
      </w:tblGrid>
      <w:tr w:rsidR="00380442" w14:paraId="2969CE0B" w14:textId="77777777" w:rsidTr="00597165">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3A226570" w14:textId="320D7E04" w:rsidR="00380442" w:rsidRDefault="00380442" w:rsidP="00944AAF">
            <w:pPr>
              <w:spacing w:before="120" w:line="276" w:lineRule="auto"/>
            </w:pPr>
            <w:r>
              <w:t>CYBER SECURITY</w:t>
            </w:r>
          </w:p>
        </w:tc>
        <w:tc>
          <w:tcPr>
            <w:tcW w:w="1352" w:type="dxa"/>
            <w:vAlign w:val="center"/>
          </w:tcPr>
          <w:p w14:paraId="549A515A" w14:textId="77777777" w:rsidR="00380442" w:rsidRDefault="00380442" w:rsidP="00944AAF">
            <w:pPr>
              <w:spacing w:before="120" w:line="276" w:lineRule="auto"/>
              <w:jc w:val="center"/>
              <w:cnfStyle w:val="100000000000" w:firstRow="1" w:lastRow="0" w:firstColumn="0" w:lastColumn="0" w:oddVBand="0" w:evenVBand="0" w:oddHBand="0" w:evenHBand="0" w:firstRowFirstColumn="0" w:firstRowLastColumn="0" w:lastRowFirstColumn="0" w:lastRowLastColumn="0"/>
            </w:pPr>
            <w:r>
              <w:t>NEXT STEPS</w:t>
            </w:r>
          </w:p>
        </w:tc>
        <w:tc>
          <w:tcPr>
            <w:tcW w:w="3043" w:type="dxa"/>
            <w:vAlign w:val="center"/>
          </w:tcPr>
          <w:p w14:paraId="3F2FD777" w14:textId="77777777" w:rsidR="00380442" w:rsidRDefault="00380442" w:rsidP="00944AAF">
            <w:pPr>
              <w:spacing w:before="120" w:line="276" w:lineRule="auto"/>
              <w:cnfStyle w:val="100000000000" w:firstRow="1" w:lastRow="0" w:firstColumn="0" w:lastColumn="0" w:oddVBand="0" w:evenVBand="0" w:oddHBand="0" w:evenHBand="0" w:firstRowFirstColumn="0" w:firstRowLastColumn="0" w:lastRowFirstColumn="0" w:lastRowLastColumn="0"/>
            </w:pPr>
            <w:r>
              <w:t>COST IMPACT</w:t>
            </w:r>
          </w:p>
        </w:tc>
      </w:tr>
      <w:tr w:rsidR="00380442" w14:paraId="5A8C1BF3" w14:textId="77777777" w:rsidTr="0059716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67879C7" w14:textId="5B6554AA" w:rsidR="00380442" w:rsidRPr="004D5236" w:rsidRDefault="00CC2CB8" w:rsidP="00944AAF">
            <w:pPr>
              <w:spacing w:before="120" w:line="276" w:lineRule="auto"/>
            </w:pPr>
            <w:r>
              <w:fldChar w:fldCharType="begin"/>
            </w:r>
            <w:r>
              <w:instrText xml:space="preserve"> REF _Ref13077735 \r \h </w:instrText>
            </w:r>
            <w:r w:rsidR="008D6036">
              <w:instrText xml:space="preserve"> \* MERGEFORMAT </w:instrText>
            </w:r>
            <w:r>
              <w:fldChar w:fldCharType="separate"/>
            </w:r>
            <w:r>
              <w:t>5.5.1</w:t>
            </w:r>
            <w:r>
              <w:fldChar w:fldCharType="end"/>
            </w:r>
          </w:p>
        </w:tc>
        <w:tc>
          <w:tcPr>
            <w:tcW w:w="3402" w:type="dxa"/>
            <w:shd w:val="clear" w:color="auto" w:fill="auto"/>
            <w:vAlign w:val="center"/>
          </w:tcPr>
          <w:p w14:paraId="5B123F5B" w14:textId="07BE9C22" w:rsidR="00380442" w:rsidRPr="004D5236" w:rsidRDefault="00380442" w:rsidP="00944AAF">
            <w:pPr>
              <w:spacing w:before="120" w:line="276" w:lineRule="auto"/>
              <w:cnfStyle w:val="000000100000" w:firstRow="0" w:lastRow="0" w:firstColumn="0" w:lastColumn="0" w:oddVBand="0" w:evenVBand="0" w:oddHBand="1" w:evenHBand="0" w:firstRowFirstColumn="0" w:firstRowLastColumn="0" w:lastRowFirstColumn="0" w:lastRowLastColumn="0"/>
              <w:rPr>
                <w:b/>
              </w:rPr>
            </w:pPr>
            <w:r w:rsidRPr="004D5236">
              <w:t>GUI M</w:t>
            </w:r>
            <w:r>
              <w:t>ulti</w:t>
            </w:r>
            <w:r w:rsidRPr="004D5236">
              <w:t>-F</w:t>
            </w:r>
            <w:r>
              <w:t>actor</w:t>
            </w:r>
            <w:r w:rsidRPr="004D5236">
              <w:t xml:space="preserve"> A</w:t>
            </w:r>
            <w:r>
              <w:t>uthentication</w:t>
            </w:r>
          </w:p>
        </w:tc>
        <w:tc>
          <w:tcPr>
            <w:tcW w:w="1352" w:type="dxa"/>
            <w:shd w:val="clear" w:color="auto" w:fill="auto"/>
            <w:vAlign w:val="center"/>
          </w:tcPr>
          <w:p w14:paraId="66156B36" w14:textId="6A0897F3" w:rsidR="00380442" w:rsidRDefault="00380442" w:rsidP="00944AAF">
            <w:pPr>
              <w:spacing w:before="120" w:line="276" w:lineRule="auto"/>
              <w:jc w:val="center"/>
              <w:cnfStyle w:val="000000100000" w:firstRow="0" w:lastRow="0" w:firstColumn="0" w:lastColumn="0" w:oddVBand="0" w:evenVBand="0" w:oddHBand="1" w:evenHBand="0" w:firstRowFirstColumn="0" w:firstRowLastColumn="0" w:lastRowFirstColumn="0" w:lastRowLastColumn="0"/>
            </w:pPr>
            <w:r>
              <w:t>Further Consultation</w:t>
            </w:r>
          </w:p>
        </w:tc>
        <w:tc>
          <w:tcPr>
            <w:tcW w:w="3043" w:type="dxa"/>
            <w:shd w:val="clear" w:color="auto" w:fill="auto"/>
            <w:vAlign w:val="center"/>
          </w:tcPr>
          <w:p w14:paraId="00DD891A" w14:textId="77777777" w:rsidR="00380442" w:rsidRDefault="00380442" w:rsidP="00815088">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2020</w:t>
            </w:r>
            <w:r>
              <w:rPr>
                <w:rFonts w:eastAsia="Times New Roman"/>
                <w:color w:val="000000"/>
                <w:lang w:eastAsia="en-GB"/>
              </w:rPr>
              <w:t>:</w:t>
            </w:r>
            <w:r>
              <w:rPr>
                <w:rFonts w:eastAsia="Times New Roman"/>
                <w:color w:val="000000"/>
                <w:lang w:eastAsia="en-GB"/>
              </w:rPr>
              <w:tab/>
              <w:t>None</w:t>
            </w:r>
          </w:p>
          <w:p w14:paraId="51E21FD3" w14:textId="298A3D90" w:rsidR="00380442" w:rsidRDefault="00380442" w:rsidP="00815088">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2021-2024</w:t>
            </w:r>
            <w:r>
              <w:rPr>
                <w:rFonts w:eastAsia="Times New Roman"/>
                <w:color w:val="000000"/>
                <w:lang w:eastAsia="en-GB"/>
              </w:rPr>
              <w:t>:</w:t>
            </w:r>
            <w:r>
              <w:rPr>
                <w:rFonts w:eastAsia="Times New Roman"/>
                <w:color w:val="000000"/>
                <w:lang w:eastAsia="en-GB"/>
              </w:rPr>
              <w:tab/>
            </w:r>
            <w:r w:rsidRPr="004D5236">
              <w:rPr>
                <w:rFonts w:eastAsia="Times New Roman"/>
                <w:color w:val="000000"/>
                <w:lang w:eastAsia="en-GB"/>
              </w:rPr>
              <w:t>€95K</w:t>
            </w:r>
            <w:r w:rsidR="00934BAE">
              <w:rPr>
                <w:color w:val="000000"/>
              </w:rPr>
              <w:t xml:space="preserve"> </w:t>
            </w:r>
            <w:r w:rsidR="00934BAE">
              <w:rPr>
                <w:rFonts w:eastAsia="Times New Roman"/>
                <w:color w:val="000000"/>
                <w:lang w:eastAsia="en-GB"/>
              </w:rPr>
              <w:t>pa</w:t>
            </w:r>
          </w:p>
          <w:p w14:paraId="5EBED8B2" w14:textId="3768883E" w:rsidR="00380442" w:rsidRPr="00F25D27" w:rsidRDefault="00380442" w:rsidP="00815088">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Pr>
                <w:rFonts w:eastAsia="Times New Roman"/>
                <w:color w:val="000000"/>
                <w:lang w:eastAsia="en-GB"/>
              </w:rPr>
              <w:t>2025-:</w:t>
            </w:r>
            <w:r>
              <w:rPr>
                <w:rFonts w:eastAsia="Times New Roman"/>
                <w:color w:val="000000"/>
                <w:lang w:eastAsia="en-GB"/>
              </w:rPr>
              <w:tab/>
            </w:r>
            <w:r w:rsidRPr="004D5236">
              <w:rPr>
                <w:rFonts w:eastAsia="Times New Roman"/>
                <w:color w:val="000000"/>
                <w:lang w:eastAsia="en-GB"/>
              </w:rPr>
              <w:t>€45K</w:t>
            </w:r>
            <w:r w:rsidR="00934BAE">
              <w:rPr>
                <w:color w:val="000000"/>
              </w:rPr>
              <w:t xml:space="preserve"> </w:t>
            </w:r>
            <w:r w:rsidR="00934BAE">
              <w:rPr>
                <w:rFonts w:eastAsia="Times New Roman"/>
                <w:color w:val="000000"/>
                <w:lang w:eastAsia="en-GB"/>
              </w:rPr>
              <w:t>pa</w:t>
            </w:r>
          </w:p>
        </w:tc>
      </w:tr>
      <w:tr w:rsidR="00380442" w14:paraId="775CE973"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9" w:type="dxa"/>
          </w:tcPr>
          <w:p w14:paraId="01BA4E60" w14:textId="596DDABE" w:rsidR="00380442" w:rsidRPr="00BB446A" w:rsidRDefault="00CC2CB8" w:rsidP="00944AAF">
            <w:pPr>
              <w:spacing w:before="120" w:line="276" w:lineRule="auto"/>
            </w:pPr>
            <w:r>
              <w:fldChar w:fldCharType="begin"/>
            </w:r>
            <w:r>
              <w:instrText xml:space="preserve"> REF _Ref13077745 \r \h </w:instrText>
            </w:r>
            <w:r w:rsidR="008D6036">
              <w:instrText xml:space="preserve"> \* MERGEFORMAT </w:instrText>
            </w:r>
            <w:r>
              <w:fldChar w:fldCharType="separate"/>
            </w:r>
            <w:r>
              <w:t>5.5.2</w:t>
            </w:r>
            <w:r>
              <w:fldChar w:fldCharType="end"/>
            </w:r>
          </w:p>
        </w:tc>
        <w:tc>
          <w:tcPr>
            <w:tcW w:w="3402" w:type="dxa"/>
            <w:vAlign w:val="center"/>
          </w:tcPr>
          <w:p w14:paraId="7360A2D8" w14:textId="0DA15804" w:rsidR="00380442" w:rsidRPr="00BB446A" w:rsidRDefault="00380442" w:rsidP="00944AAF">
            <w:pPr>
              <w:spacing w:before="120" w:line="276" w:lineRule="auto"/>
              <w:cnfStyle w:val="000000000000" w:firstRow="0" w:lastRow="0" w:firstColumn="0" w:lastColumn="0" w:oddVBand="0" w:evenVBand="0" w:oddHBand="0" w:evenHBand="0" w:firstRowFirstColumn="0" w:firstRowLastColumn="0" w:lastRowFirstColumn="0" w:lastRowLastColumn="0"/>
              <w:rPr>
                <w:b/>
              </w:rPr>
            </w:pPr>
            <w:r w:rsidRPr="00BB446A">
              <w:t>S</w:t>
            </w:r>
            <w:r>
              <w:t>ecure</w:t>
            </w:r>
            <w:r w:rsidRPr="00BB446A">
              <w:t xml:space="preserve"> SDLC</w:t>
            </w:r>
          </w:p>
        </w:tc>
        <w:tc>
          <w:tcPr>
            <w:tcW w:w="1352" w:type="dxa"/>
            <w:vAlign w:val="center"/>
          </w:tcPr>
          <w:p w14:paraId="5D542B1C" w14:textId="0E478462" w:rsidR="00380442" w:rsidRDefault="00380442" w:rsidP="00944AAF">
            <w:pPr>
              <w:spacing w:before="120" w:line="276" w:lineRule="auto"/>
              <w:jc w:val="center"/>
              <w:cnfStyle w:val="000000000000" w:firstRow="0" w:lastRow="0" w:firstColumn="0" w:lastColumn="0" w:oddVBand="0" w:evenVBand="0" w:oddHBand="0" w:evenHBand="0" w:firstRowFirstColumn="0" w:firstRowLastColumn="0" w:lastRowFirstColumn="0" w:lastRowLastColumn="0"/>
            </w:pPr>
            <w:r>
              <w:t>Further Consultation</w:t>
            </w:r>
          </w:p>
        </w:tc>
        <w:tc>
          <w:tcPr>
            <w:tcW w:w="3043" w:type="dxa"/>
            <w:vAlign w:val="center"/>
          </w:tcPr>
          <w:p w14:paraId="24E9C883" w14:textId="403F7E93" w:rsidR="00380442" w:rsidRDefault="00380442" w:rsidP="00815088">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2020</w:t>
            </w:r>
            <w:r>
              <w:rPr>
                <w:rFonts w:eastAsia="Times New Roman"/>
                <w:color w:val="000000"/>
                <w:lang w:eastAsia="en-GB"/>
              </w:rPr>
              <w:t>:</w:t>
            </w:r>
            <w:r>
              <w:rPr>
                <w:rFonts w:eastAsia="Times New Roman"/>
                <w:color w:val="000000"/>
                <w:lang w:eastAsia="en-GB"/>
              </w:rPr>
              <w:tab/>
              <w:t>€90K</w:t>
            </w:r>
            <w:r w:rsidR="00934BAE">
              <w:rPr>
                <w:color w:val="000000"/>
              </w:rPr>
              <w:t xml:space="preserve"> </w:t>
            </w:r>
            <w:r w:rsidR="00934BAE">
              <w:rPr>
                <w:rFonts w:eastAsia="Times New Roman"/>
                <w:color w:val="000000"/>
                <w:lang w:eastAsia="en-GB"/>
              </w:rPr>
              <w:t>pa</w:t>
            </w:r>
          </w:p>
          <w:p w14:paraId="0106A7B8" w14:textId="36244A93" w:rsidR="00380442" w:rsidRPr="00BB446A" w:rsidRDefault="00380442" w:rsidP="00815088">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2021-</w:t>
            </w:r>
            <w:r>
              <w:rPr>
                <w:rFonts w:eastAsia="Times New Roman"/>
                <w:color w:val="000000"/>
                <w:lang w:eastAsia="en-GB"/>
              </w:rPr>
              <w:t>:</w:t>
            </w:r>
            <w:r>
              <w:rPr>
                <w:rFonts w:eastAsia="Times New Roman"/>
                <w:color w:val="000000"/>
                <w:lang w:eastAsia="en-GB"/>
              </w:rPr>
              <w:tab/>
              <w:t>None</w:t>
            </w:r>
          </w:p>
        </w:tc>
      </w:tr>
      <w:tr w:rsidR="00380442" w14:paraId="358F9D1B" w14:textId="77777777" w:rsidTr="0059716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9" w:type="dxa"/>
          </w:tcPr>
          <w:p w14:paraId="267ECFCB" w14:textId="666D94D2" w:rsidR="00380442" w:rsidRPr="006F3CDF" w:rsidRDefault="00CC2CB8" w:rsidP="00944AAF">
            <w:pPr>
              <w:spacing w:before="120" w:line="276" w:lineRule="auto"/>
            </w:pPr>
            <w:r>
              <w:fldChar w:fldCharType="begin"/>
            </w:r>
            <w:r>
              <w:instrText xml:space="preserve"> REF _Ref13077773 \r \h </w:instrText>
            </w:r>
            <w:r w:rsidR="008D6036">
              <w:instrText xml:space="preserve"> \* MERGEFORMAT </w:instrText>
            </w:r>
            <w:r>
              <w:fldChar w:fldCharType="separate"/>
            </w:r>
            <w:r>
              <w:t>5.5.3</w:t>
            </w:r>
            <w:r>
              <w:fldChar w:fldCharType="end"/>
            </w:r>
          </w:p>
        </w:tc>
        <w:tc>
          <w:tcPr>
            <w:tcW w:w="3402" w:type="dxa"/>
            <w:shd w:val="clear" w:color="auto" w:fill="auto"/>
            <w:vAlign w:val="center"/>
          </w:tcPr>
          <w:p w14:paraId="4C1919B6" w14:textId="7C6414CC" w:rsidR="00380442" w:rsidRPr="006F3CDF" w:rsidRDefault="00380442" w:rsidP="00944AAF">
            <w:pPr>
              <w:spacing w:before="120" w:line="276" w:lineRule="auto"/>
              <w:cnfStyle w:val="000000100000" w:firstRow="0" w:lastRow="0" w:firstColumn="0" w:lastColumn="0" w:oddVBand="0" w:evenVBand="0" w:oddHBand="1" w:evenHBand="0" w:firstRowFirstColumn="0" w:firstRowLastColumn="0" w:lastRowFirstColumn="0" w:lastRowLastColumn="0"/>
              <w:rPr>
                <w:b/>
              </w:rPr>
            </w:pPr>
            <w:r w:rsidRPr="006F3CDF">
              <w:t xml:space="preserve">ISO 27001/2 </w:t>
            </w:r>
            <w:r>
              <w:t xml:space="preserve">for </w:t>
            </w:r>
            <w:r w:rsidRPr="006F3CDF">
              <w:t>C</w:t>
            </w:r>
            <w:r>
              <w:t>yber</w:t>
            </w:r>
            <w:r w:rsidRPr="006F3CDF">
              <w:t xml:space="preserve"> B</w:t>
            </w:r>
            <w:r>
              <w:t>reach</w:t>
            </w:r>
            <w:r w:rsidRPr="006F3CDF">
              <w:t xml:space="preserve"> R</w:t>
            </w:r>
            <w:r>
              <w:t>isk</w:t>
            </w:r>
          </w:p>
        </w:tc>
        <w:tc>
          <w:tcPr>
            <w:tcW w:w="1352" w:type="dxa"/>
            <w:shd w:val="clear" w:color="auto" w:fill="auto"/>
            <w:vAlign w:val="center"/>
          </w:tcPr>
          <w:p w14:paraId="79FC2C30" w14:textId="12105D91" w:rsidR="00380442" w:rsidRDefault="00380442" w:rsidP="00944AAF">
            <w:pPr>
              <w:spacing w:before="120" w:line="276" w:lineRule="auto"/>
              <w:jc w:val="center"/>
              <w:cnfStyle w:val="000000100000" w:firstRow="0" w:lastRow="0" w:firstColumn="0" w:lastColumn="0" w:oddVBand="0" w:evenVBand="0" w:oddHBand="1" w:evenHBand="0" w:firstRowFirstColumn="0" w:firstRowLastColumn="0" w:lastRowFirstColumn="0" w:lastRowLastColumn="0"/>
            </w:pPr>
            <w:r>
              <w:t>Further Consultation</w:t>
            </w:r>
          </w:p>
        </w:tc>
        <w:tc>
          <w:tcPr>
            <w:tcW w:w="3043" w:type="dxa"/>
            <w:shd w:val="clear" w:color="auto" w:fill="auto"/>
            <w:vAlign w:val="center"/>
          </w:tcPr>
          <w:p w14:paraId="7CD0A8A6" w14:textId="750D0CDD" w:rsidR="00380442" w:rsidRDefault="00380442" w:rsidP="00815088">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2020</w:t>
            </w:r>
            <w:r>
              <w:rPr>
                <w:rFonts w:eastAsia="Times New Roman"/>
                <w:color w:val="000000"/>
                <w:lang w:eastAsia="en-GB"/>
              </w:rPr>
              <w:t>:</w:t>
            </w:r>
            <w:r>
              <w:rPr>
                <w:rFonts w:eastAsia="Times New Roman"/>
                <w:color w:val="000000"/>
                <w:lang w:eastAsia="en-GB"/>
              </w:rPr>
              <w:tab/>
              <w:t>€90K</w:t>
            </w:r>
          </w:p>
          <w:p w14:paraId="5A381BCE" w14:textId="6BE2EB80" w:rsidR="00380442" w:rsidRPr="00FB012C" w:rsidRDefault="00380442" w:rsidP="00815088">
            <w:pPr>
              <w:pStyle w:val="ListParagraph"/>
              <w:numPr>
                <w:ilvl w:val="0"/>
                <w:numId w:val="46"/>
              </w:numPr>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r w:rsidRPr="004D5236">
              <w:rPr>
                <w:rFonts w:eastAsia="Times New Roman"/>
                <w:color w:val="000000"/>
                <w:lang w:eastAsia="en-GB"/>
              </w:rPr>
              <w:t>2021-</w:t>
            </w:r>
            <w:r>
              <w:rPr>
                <w:rFonts w:eastAsia="Times New Roman"/>
                <w:color w:val="000000"/>
                <w:lang w:eastAsia="en-GB"/>
              </w:rPr>
              <w:t>:</w:t>
            </w:r>
            <w:r>
              <w:rPr>
                <w:rFonts w:eastAsia="Times New Roman"/>
                <w:color w:val="000000"/>
                <w:lang w:eastAsia="en-GB"/>
              </w:rPr>
              <w:tab/>
              <w:t>None</w:t>
            </w:r>
          </w:p>
        </w:tc>
      </w:tr>
      <w:tr w:rsidR="00380442" w14:paraId="05E94979"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9" w:type="dxa"/>
          </w:tcPr>
          <w:p w14:paraId="477244E8" w14:textId="288F9135" w:rsidR="00380442" w:rsidRPr="006F3CDF" w:rsidRDefault="00E0043E" w:rsidP="00944AAF">
            <w:pPr>
              <w:spacing w:before="120" w:line="276" w:lineRule="auto"/>
            </w:pPr>
            <w:r>
              <w:fldChar w:fldCharType="begin"/>
            </w:r>
            <w:r>
              <w:instrText xml:space="preserve"> REF _Ref13080194 \r \h </w:instrText>
            </w:r>
            <w:r w:rsidR="00597165">
              <w:instrText xml:space="preserve"> \* MERGEFORMAT </w:instrText>
            </w:r>
            <w:r>
              <w:fldChar w:fldCharType="separate"/>
            </w:r>
            <w:r>
              <w:t>5.5.4</w:t>
            </w:r>
            <w:r>
              <w:fldChar w:fldCharType="end"/>
            </w:r>
          </w:p>
        </w:tc>
        <w:tc>
          <w:tcPr>
            <w:tcW w:w="3402" w:type="dxa"/>
            <w:vAlign w:val="center"/>
          </w:tcPr>
          <w:p w14:paraId="618AE488" w14:textId="7316A985" w:rsidR="00380442" w:rsidRPr="006F3CDF" w:rsidRDefault="00380442" w:rsidP="00944AAF">
            <w:pPr>
              <w:spacing w:before="120" w:line="276" w:lineRule="auto"/>
              <w:cnfStyle w:val="000000000000" w:firstRow="0" w:lastRow="0" w:firstColumn="0" w:lastColumn="0" w:oddVBand="0" w:evenVBand="0" w:oddHBand="0" w:evenHBand="0" w:firstRowFirstColumn="0" w:firstRowLastColumn="0" w:lastRowFirstColumn="0" w:lastRowLastColumn="0"/>
              <w:rPr>
                <w:b/>
              </w:rPr>
            </w:pPr>
            <w:r w:rsidRPr="006F3CDF">
              <w:t xml:space="preserve">ISO 27018 </w:t>
            </w:r>
            <w:r>
              <w:t xml:space="preserve">for </w:t>
            </w:r>
            <w:r w:rsidRPr="006F3CDF">
              <w:t>PII B</w:t>
            </w:r>
            <w:r>
              <w:t>reach</w:t>
            </w:r>
            <w:r w:rsidRPr="006F3CDF">
              <w:t xml:space="preserve"> R</w:t>
            </w:r>
            <w:r>
              <w:t>isk</w:t>
            </w:r>
          </w:p>
        </w:tc>
        <w:tc>
          <w:tcPr>
            <w:tcW w:w="1352" w:type="dxa"/>
            <w:vAlign w:val="center"/>
          </w:tcPr>
          <w:p w14:paraId="286E1970" w14:textId="2626FA00" w:rsidR="00380442" w:rsidRDefault="00380442" w:rsidP="00944AAF">
            <w:pPr>
              <w:spacing w:before="120" w:line="276" w:lineRule="auto"/>
              <w:jc w:val="center"/>
              <w:cnfStyle w:val="000000000000" w:firstRow="0" w:lastRow="0" w:firstColumn="0" w:lastColumn="0" w:oddVBand="0" w:evenVBand="0" w:oddHBand="0" w:evenHBand="0" w:firstRowFirstColumn="0" w:firstRowLastColumn="0" w:lastRowFirstColumn="0" w:lastRowLastColumn="0"/>
            </w:pPr>
            <w:r>
              <w:t>None</w:t>
            </w:r>
          </w:p>
        </w:tc>
        <w:tc>
          <w:tcPr>
            <w:tcW w:w="3043" w:type="dxa"/>
            <w:vAlign w:val="center"/>
          </w:tcPr>
          <w:p w14:paraId="22D2A3F9" w14:textId="1B685147" w:rsidR="00380442" w:rsidRPr="00FB012C" w:rsidRDefault="00380442" w:rsidP="00944AAF">
            <w:pPr>
              <w:pStyle w:val="ListParagraph"/>
              <w:numPr>
                <w:ilvl w:val="0"/>
                <w:numId w:val="46"/>
              </w:numPr>
              <w:spacing w:before="120" w:line="276" w:lineRule="auto"/>
              <w:contextualSpacing w:val="0"/>
              <w:cnfStyle w:val="000000000000" w:firstRow="0" w:lastRow="0" w:firstColumn="0" w:lastColumn="0" w:oddVBand="0" w:evenVBand="0" w:oddHBand="0" w:evenHBand="0" w:firstRowFirstColumn="0" w:firstRowLastColumn="0" w:lastRowFirstColumn="0" w:lastRowLastColumn="0"/>
            </w:pPr>
            <w:r w:rsidRPr="004D5236">
              <w:rPr>
                <w:rFonts w:eastAsia="Times New Roman"/>
                <w:color w:val="000000"/>
                <w:lang w:eastAsia="en-GB"/>
              </w:rPr>
              <w:t>2020</w:t>
            </w:r>
            <w:r w:rsidR="00697E69">
              <w:rPr>
                <w:rFonts w:eastAsia="Times New Roman"/>
                <w:color w:val="000000"/>
                <w:lang w:eastAsia="en-GB"/>
              </w:rPr>
              <w:t>-</w:t>
            </w:r>
            <w:r>
              <w:rPr>
                <w:rFonts w:eastAsia="Times New Roman"/>
                <w:color w:val="000000"/>
                <w:lang w:eastAsia="en-GB"/>
              </w:rPr>
              <w:t>:</w:t>
            </w:r>
            <w:r>
              <w:rPr>
                <w:rFonts w:eastAsia="Times New Roman"/>
                <w:color w:val="000000"/>
                <w:lang w:eastAsia="en-GB"/>
              </w:rPr>
              <w:tab/>
              <w:t>None</w:t>
            </w:r>
          </w:p>
        </w:tc>
      </w:tr>
      <w:tr w:rsidR="00380442" w14:paraId="1763776C" w14:textId="77777777" w:rsidTr="0059716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129" w:type="dxa"/>
            <w:tcBorders>
              <w:bottom w:val="single" w:sz="4" w:space="0" w:color="BDD6EE" w:themeColor="accent1" w:themeTint="66"/>
            </w:tcBorders>
          </w:tcPr>
          <w:p w14:paraId="12E0F454" w14:textId="4F62221B" w:rsidR="00380442" w:rsidRPr="006F3CDF" w:rsidRDefault="00CC2CB8" w:rsidP="00944AAF">
            <w:pPr>
              <w:spacing w:before="120" w:line="276" w:lineRule="auto"/>
            </w:pPr>
            <w:r>
              <w:fldChar w:fldCharType="begin"/>
            </w:r>
            <w:r>
              <w:instrText xml:space="preserve"> REF _Ref13077789 \r \h </w:instrText>
            </w:r>
            <w:r w:rsidR="008D6036">
              <w:instrText xml:space="preserve"> \* MERGEFORMAT </w:instrText>
            </w:r>
            <w:r>
              <w:fldChar w:fldCharType="separate"/>
            </w:r>
            <w:r>
              <w:t>5.5.5</w:t>
            </w:r>
            <w:r>
              <w:fldChar w:fldCharType="end"/>
            </w:r>
          </w:p>
        </w:tc>
        <w:tc>
          <w:tcPr>
            <w:tcW w:w="3402" w:type="dxa"/>
            <w:tcBorders>
              <w:bottom w:val="single" w:sz="4" w:space="0" w:color="BDD6EE" w:themeColor="accent1" w:themeTint="66"/>
            </w:tcBorders>
            <w:shd w:val="clear" w:color="auto" w:fill="auto"/>
            <w:vAlign w:val="center"/>
          </w:tcPr>
          <w:p w14:paraId="61B45B68" w14:textId="1C26ADA9" w:rsidR="00380442" w:rsidRPr="006F3CDF" w:rsidRDefault="00380442" w:rsidP="00944AAF">
            <w:pPr>
              <w:spacing w:before="120" w:line="276" w:lineRule="auto"/>
              <w:cnfStyle w:val="000000100000" w:firstRow="0" w:lastRow="0" w:firstColumn="0" w:lastColumn="0" w:oddVBand="0" w:evenVBand="0" w:oddHBand="1" w:evenHBand="0" w:firstRowFirstColumn="0" w:firstRowLastColumn="0" w:lastRowFirstColumn="0" w:lastRowLastColumn="0"/>
              <w:rPr>
                <w:b/>
              </w:rPr>
            </w:pPr>
            <w:r w:rsidRPr="006F3CDF">
              <w:t>O</w:t>
            </w:r>
            <w:r>
              <w:t>n</w:t>
            </w:r>
            <w:r w:rsidRPr="006F3CDF">
              <w:t>-B</w:t>
            </w:r>
            <w:r>
              <w:t>oarding</w:t>
            </w:r>
            <w:r w:rsidRPr="006F3CDF">
              <w:t xml:space="preserve"> </w:t>
            </w:r>
            <w:r>
              <w:t>of</w:t>
            </w:r>
            <w:r w:rsidRPr="006F3CDF">
              <w:t xml:space="preserve"> CISO</w:t>
            </w:r>
          </w:p>
        </w:tc>
        <w:tc>
          <w:tcPr>
            <w:tcW w:w="1352" w:type="dxa"/>
            <w:tcBorders>
              <w:bottom w:val="single" w:sz="4" w:space="0" w:color="BDD6EE" w:themeColor="accent1" w:themeTint="66"/>
            </w:tcBorders>
            <w:shd w:val="clear" w:color="auto" w:fill="auto"/>
            <w:vAlign w:val="center"/>
          </w:tcPr>
          <w:p w14:paraId="5F238450" w14:textId="60C1CDEE" w:rsidR="00380442" w:rsidRDefault="00380442" w:rsidP="00944AAF">
            <w:pPr>
              <w:spacing w:before="120" w:line="276" w:lineRule="auto"/>
              <w:jc w:val="center"/>
              <w:cnfStyle w:val="000000100000" w:firstRow="0" w:lastRow="0" w:firstColumn="0" w:lastColumn="0" w:oddVBand="0" w:evenVBand="0" w:oddHBand="1" w:evenHBand="0" w:firstRowFirstColumn="0" w:firstRowLastColumn="0" w:lastRowFirstColumn="0" w:lastRowLastColumn="0"/>
            </w:pPr>
            <w:r>
              <w:t>Further Consultation</w:t>
            </w:r>
          </w:p>
        </w:tc>
        <w:tc>
          <w:tcPr>
            <w:tcW w:w="3043" w:type="dxa"/>
            <w:tcBorders>
              <w:bottom w:val="single" w:sz="4" w:space="0" w:color="BDD6EE" w:themeColor="accent1" w:themeTint="66"/>
            </w:tcBorders>
            <w:shd w:val="clear" w:color="auto" w:fill="auto"/>
            <w:vAlign w:val="center"/>
          </w:tcPr>
          <w:p w14:paraId="387FBC31" w14:textId="7A214F02" w:rsidR="00380442" w:rsidRPr="00FB012C" w:rsidRDefault="00380442" w:rsidP="00944AAF">
            <w:pPr>
              <w:pStyle w:val="ListParagraph"/>
              <w:numPr>
                <w:ilvl w:val="0"/>
                <w:numId w:val="46"/>
              </w:numPr>
              <w:spacing w:before="120" w:line="276" w:lineRule="auto"/>
              <w:contextualSpacing w:val="0"/>
              <w:cnfStyle w:val="000000100000" w:firstRow="0" w:lastRow="0" w:firstColumn="0" w:lastColumn="0" w:oddVBand="0" w:evenVBand="0" w:oddHBand="1" w:evenHBand="0" w:firstRowFirstColumn="0" w:firstRowLastColumn="0" w:lastRowFirstColumn="0" w:lastRowLastColumn="0"/>
            </w:pPr>
            <w:r w:rsidRPr="004D5236">
              <w:rPr>
                <w:rFonts w:eastAsia="Times New Roman"/>
                <w:color w:val="000000"/>
                <w:lang w:eastAsia="en-GB"/>
              </w:rPr>
              <w:t>2020</w:t>
            </w:r>
            <w:r w:rsidR="00697E69">
              <w:rPr>
                <w:rFonts w:eastAsia="Times New Roman"/>
                <w:color w:val="000000"/>
                <w:lang w:eastAsia="en-GB"/>
              </w:rPr>
              <w:t>-</w:t>
            </w:r>
            <w:r>
              <w:rPr>
                <w:rFonts w:eastAsia="Times New Roman"/>
                <w:color w:val="000000"/>
                <w:lang w:eastAsia="en-GB"/>
              </w:rPr>
              <w:t>:</w:t>
            </w:r>
            <w:r>
              <w:rPr>
                <w:rFonts w:eastAsia="Times New Roman"/>
                <w:color w:val="000000"/>
                <w:lang w:eastAsia="en-GB"/>
              </w:rPr>
              <w:tab/>
              <w:t>€290K</w:t>
            </w:r>
            <w:r w:rsidR="00934BAE">
              <w:rPr>
                <w:color w:val="000000"/>
              </w:rPr>
              <w:t xml:space="preserve"> </w:t>
            </w:r>
            <w:r w:rsidR="00934BAE">
              <w:rPr>
                <w:rFonts w:eastAsia="Times New Roman"/>
                <w:color w:val="000000"/>
                <w:lang w:eastAsia="en-GB"/>
              </w:rPr>
              <w:t>pa</w:t>
            </w:r>
          </w:p>
        </w:tc>
      </w:tr>
      <w:tr w:rsidR="00597165" w14:paraId="59194071" w14:textId="77777777" w:rsidTr="004326DA">
        <w:trPr>
          <w:trHeight w:val="693"/>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BDD6EE" w:themeColor="accent1" w:themeTint="66"/>
              <w:bottom w:val="single" w:sz="4" w:space="0" w:color="BDD6EE" w:themeColor="accent1" w:themeTint="66"/>
            </w:tcBorders>
            <w:vAlign w:val="center"/>
          </w:tcPr>
          <w:p w14:paraId="224C241E" w14:textId="5C04B51A" w:rsidR="00597165" w:rsidRPr="00F25D27" w:rsidRDefault="00597165" w:rsidP="00944AAF">
            <w:pPr>
              <w:spacing w:before="120" w:line="276" w:lineRule="auto"/>
              <w:rPr>
                <w:b w:val="0"/>
                <w:bCs w:val="0"/>
              </w:rPr>
            </w:pPr>
          </w:p>
        </w:tc>
        <w:tc>
          <w:tcPr>
            <w:tcW w:w="4754" w:type="dxa"/>
            <w:gridSpan w:val="2"/>
            <w:tcBorders>
              <w:top w:val="single" w:sz="4" w:space="0" w:color="BDD6EE" w:themeColor="accent1" w:themeTint="66"/>
              <w:bottom w:val="single" w:sz="4" w:space="0" w:color="BDD6EE" w:themeColor="accent1" w:themeTint="66"/>
            </w:tcBorders>
            <w:shd w:val="clear" w:color="auto" w:fill="BDD6EE" w:themeFill="accent1" w:themeFillTint="66"/>
            <w:vAlign w:val="center"/>
          </w:tcPr>
          <w:p w14:paraId="573BF1B7" w14:textId="5ECC23F0" w:rsidR="00597165" w:rsidRPr="00F25D27" w:rsidRDefault="00597165" w:rsidP="00944AAF">
            <w:pPr>
              <w:spacing w:before="120" w:line="276" w:lineRule="auto"/>
              <w:cnfStyle w:val="000000000000" w:firstRow="0" w:lastRow="0" w:firstColumn="0" w:lastColumn="0" w:oddVBand="0" w:evenVBand="0" w:oddHBand="0" w:evenHBand="0" w:firstRowFirstColumn="0" w:firstRowLastColumn="0" w:lastRowFirstColumn="0" w:lastRowLastColumn="0"/>
            </w:pPr>
            <w:r w:rsidRPr="00F60ED8">
              <w:t>TOTAL</w:t>
            </w:r>
            <w:r>
              <w:rPr>
                <w:rStyle w:val="FootnoteReference"/>
              </w:rPr>
              <w:footnoteReference w:id="18"/>
            </w:r>
          </w:p>
        </w:tc>
        <w:tc>
          <w:tcPr>
            <w:tcW w:w="3043" w:type="dxa"/>
            <w:tcBorders>
              <w:top w:val="single" w:sz="4" w:space="0" w:color="BDD6EE" w:themeColor="accent1" w:themeTint="66"/>
              <w:bottom w:val="single" w:sz="4" w:space="0" w:color="BDD6EE" w:themeColor="accent1" w:themeTint="66"/>
            </w:tcBorders>
            <w:shd w:val="clear" w:color="auto" w:fill="BDD6EE" w:themeFill="accent1" w:themeFillTint="66"/>
            <w:vAlign w:val="center"/>
          </w:tcPr>
          <w:p w14:paraId="31B4CEFA" w14:textId="257D10C8" w:rsidR="00597165" w:rsidRPr="00815088" w:rsidRDefault="00597165" w:rsidP="00815088">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color w:val="000000"/>
              </w:rPr>
            </w:pPr>
            <w:r w:rsidRPr="00815088">
              <w:rPr>
                <w:color w:val="000000"/>
              </w:rPr>
              <w:t xml:space="preserve">2020: </w:t>
            </w:r>
            <w:r w:rsidRPr="00815088">
              <w:rPr>
                <w:color w:val="000000"/>
              </w:rPr>
              <w:tab/>
              <w:t>€470K</w:t>
            </w:r>
          </w:p>
          <w:p w14:paraId="007509F7" w14:textId="49F98439" w:rsidR="00597165" w:rsidRPr="00815088" w:rsidRDefault="00597165" w:rsidP="00815088">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color w:val="000000"/>
              </w:rPr>
            </w:pPr>
            <w:r w:rsidRPr="00815088">
              <w:rPr>
                <w:color w:val="000000"/>
              </w:rPr>
              <w:t>2021-2024:</w:t>
            </w:r>
            <w:r w:rsidRPr="00815088">
              <w:rPr>
                <w:color w:val="000000"/>
              </w:rPr>
              <w:tab/>
              <w:t>€385K</w:t>
            </w:r>
            <w:r w:rsidR="00934BAE">
              <w:rPr>
                <w:color w:val="000000"/>
              </w:rPr>
              <w:t xml:space="preserve"> </w:t>
            </w:r>
            <w:r w:rsidR="00934BAE">
              <w:rPr>
                <w:rFonts w:eastAsia="Times New Roman"/>
                <w:color w:val="000000"/>
                <w:lang w:eastAsia="en-GB"/>
              </w:rPr>
              <w:t>pa</w:t>
            </w:r>
          </w:p>
          <w:p w14:paraId="250C049A" w14:textId="0452680F" w:rsidR="00597165" w:rsidRPr="00F60ED8" w:rsidRDefault="00597165" w:rsidP="00815088">
            <w:pPr>
              <w:pStyle w:val="ListParagraph"/>
              <w:numPr>
                <w:ilvl w:val="0"/>
                <w:numId w:val="46"/>
              </w:numPr>
              <w:ind w:left="357" w:hanging="357"/>
              <w:contextualSpacing w:val="0"/>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n-GB"/>
              </w:rPr>
            </w:pPr>
            <w:r w:rsidRPr="00815088">
              <w:rPr>
                <w:color w:val="000000"/>
              </w:rPr>
              <w:t>2025-:</w:t>
            </w:r>
            <w:r w:rsidRPr="00815088">
              <w:rPr>
                <w:color w:val="000000"/>
              </w:rPr>
              <w:tab/>
              <w:t>€335K</w:t>
            </w:r>
            <w:r w:rsidR="00934BAE">
              <w:rPr>
                <w:color w:val="000000"/>
              </w:rPr>
              <w:t xml:space="preserve"> </w:t>
            </w:r>
            <w:r w:rsidR="00934BAE">
              <w:rPr>
                <w:rFonts w:eastAsia="Times New Roman"/>
                <w:color w:val="000000"/>
                <w:lang w:eastAsia="en-GB"/>
              </w:rPr>
              <w:t>pa</w:t>
            </w:r>
          </w:p>
        </w:tc>
      </w:tr>
    </w:tbl>
    <w:p w14:paraId="324571AA" w14:textId="77777777" w:rsidR="008C636E" w:rsidRDefault="008C636E" w:rsidP="008C636E">
      <w:pPr>
        <w:rPr>
          <w:rFonts w:ascii="Calibri" w:eastAsia="Times New Roman" w:hAnsi="Calibri" w:cs="Calibri"/>
          <w:color w:val="000000"/>
          <w:lang w:eastAsia="en-GB"/>
        </w:rPr>
      </w:pPr>
    </w:p>
    <w:bookmarkStart w:id="109" w:name="_Ref13077735"/>
    <w:bookmarkStart w:id="110" w:name="_Toc13087154"/>
    <w:bookmarkStart w:id="111" w:name="_Toc13157240"/>
    <w:p w14:paraId="2D265463" w14:textId="0E2B3945" w:rsidR="008C636E" w:rsidRDefault="008C636E" w:rsidP="008C636E">
      <w:pPr>
        <w:pStyle w:val="Heading3"/>
      </w:pPr>
      <w:r>
        <w:rPr>
          <w:noProof/>
          <w:lang w:eastAsia="en-GB"/>
        </w:rPr>
        <w:lastRenderedPageBreak/>
        <mc:AlternateContent>
          <mc:Choice Requires="wps">
            <w:drawing>
              <wp:anchor distT="45720" distB="45720" distL="114300" distR="114300" simplePos="0" relativeHeight="251824128" behindDoc="0" locked="0" layoutInCell="1" allowOverlap="1" wp14:anchorId="6141C7B6" wp14:editId="3C4D752A">
                <wp:simplePos x="0" y="0"/>
                <wp:positionH relativeFrom="margin">
                  <wp:align>right</wp:align>
                </wp:positionH>
                <wp:positionV relativeFrom="paragraph">
                  <wp:posOffset>341243</wp:posOffset>
                </wp:positionV>
                <wp:extent cx="5716905" cy="1404620"/>
                <wp:effectExtent l="0" t="0" r="17145" b="152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28A5CDF0"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8C636E">
                              <w:rPr>
                                <w:rStyle w:val="normaltextrun"/>
                                <w:rFonts w:ascii="Calibri" w:hAnsi="Calibri" w:cs="Calibri"/>
                                <w:color w:val="000000"/>
                                <w:sz w:val="22"/>
                                <w:szCs w:val="22"/>
                              </w:rPr>
                              <w:t xml:space="preserve">The DSB utilises a traditional </w:t>
                            </w:r>
                            <w:proofErr w:type="spellStart"/>
                            <w:r w:rsidRPr="008C636E">
                              <w:rPr>
                                <w:rStyle w:val="normaltextrun"/>
                                <w:rFonts w:ascii="Calibri" w:hAnsi="Calibri" w:cs="Calibri"/>
                                <w:color w:val="000000"/>
                                <w:sz w:val="22"/>
                                <w:szCs w:val="22"/>
                              </w:rPr>
                              <w:t>userid</w:t>
                            </w:r>
                            <w:proofErr w:type="spellEnd"/>
                            <w:r w:rsidRPr="008C636E">
                              <w:rPr>
                                <w:rStyle w:val="normaltextrun"/>
                                <w:rFonts w:ascii="Calibri" w:hAnsi="Calibri" w:cs="Calibri"/>
                                <w:color w:val="000000"/>
                                <w:sz w:val="22"/>
                                <w:szCs w:val="22"/>
                              </w:rPr>
                              <w:t xml:space="preserve"> / password mechanism for authentication to the DSB GUI. Whilst such a mechanism is common practice, the latest industry best practice now utilises multi-factor authentication (MFA) to provide an additional layer of security. </w:t>
                            </w:r>
                          </w:p>
                          <w:p w14:paraId="7BDA4A9F"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8C636E">
                              <w:rPr>
                                <w:rStyle w:val="normaltextrun"/>
                                <w:rFonts w:ascii="Calibri" w:hAnsi="Calibri" w:cs="Calibri"/>
                                <w:color w:val="000000"/>
                                <w:sz w:val="22"/>
                                <w:szCs w:val="22"/>
                              </w:rPr>
                              <w:t xml:space="preserve">The Applied Cybersecurity Division of the US National Institute for Standards and Technology (NIST) provides a useful description of MFA and how it works6.  </w:t>
                            </w:r>
                          </w:p>
                          <w:p w14:paraId="006DBF2F"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8C636E">
                              <w:rPr>
                                <w:rStyle w:val="normaltextrun"/>
                                <w:rFonts w:ascii="Calibri" w:hAnsi="Calibri" w:cs="Calibri"/>
                                <w:color w:val="000000"/>
                                <w:sz w:val="22"/>
                                <w:szCs w:val="22"/>
                              </w:rPr>
                              <w:t xml:space="preserve">The DSB notes that most industry and government guidelines on cyber- authentication recommend the use of MFA and therefore the DSB would like to receive feedback on whether a migration to MFA should be considered in 2020.  </w:t>
                            </w:r>
                          </w:p>
                          <w:p w14:paraId="6A44D839" w14:textId="2F0E910E" w:rsidR="00D52BA4" w:rsidRDefault="00D52BA4" w:rsidP="008C636E">
                            <w:pPr>
                              <w:pStyle w:val="paragraph"/>
                              <w:spacing w:before="240" w:beforeAutospacing="0" w:after="120" w:afterAutospacing="0" w:line="276" w:lineRule="auto"/>
                              <w:textAlignment w:val="baseline"/>
                            </w:pPr>
                            <w:r w:rsidRPr="008C636E">
                              <w:rPr>
                                <w:rStyle w:val="normaltextrun"/>
                                <w:rFonts w:ascii="Calibri" w:hAnsi="Calibri" w:cs="Calibri"/>
                                <w:b/>
                                <w:color w:val="000000"/>
                                <w:sz w:val="22"/>
                                <w:szCs w:val="22"/>
                              </w:rPr>
                              <w:t>CP1 Question:</w:t>
                            </w:r>
                            <w:r w:rsidRPr="008C636E">
                              <w:rPr>
                                <w:rStyle w:val="normaltextrun"/>
                                <w:rFonts w:ascii="Calibri" w:hAnsi="Calibri" w:cs="Calibri"/>
                                <w:color w:val="000000"/>
                                <w:sz w:val="22"/>
                                <w:szCs w:val="22"/>
                              </w:rPr>
                              <w:t xml:space="preserve"> Should the DSB GUI support multi-factor authentication to match best practice cyber-authentication 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1C7B6" id="_x0000_s1067" type="#_x0000_t202" style="position:absolute;left:0;text-align:left;margin-left:398.95pt;margin-top:26.85pt;width:450.15pt;height:110.6pt;z-index:251824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">
                <v:textbox style="mso-fit-shape-to-text:t">
                  <w:txbxContent>
                    <w:p w14:paraId="28A5CDF0"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8C636E">
                        <w:rPr>
                          <w:rStyle w:val="normaltextrun"/>
                          <w:rFonts w:ascii="Calibri" w:hAnsi="Calibri" w:cs="Calibri"/>
                          <w:color w:val="000000"/>
                          <w:sz w:val="22"/>
                          <w:szCs w:val="22"/>
                        </w:rPr>
                        <w:t xml:space="preserve">The DSB utilises a traditional </w:t>
                      </w:r>
                      <w:proofErr w:type="spellStart"/>
                      <w:r w:rsidRPr="008C636E">
                        <w:rPr>
                          <w:rStyle w:val="normaltextrun"/>
                          <w:rFonts w:ascii="Calibri" w:hAnsi="Calibri" w:cs="Calibri"/>
                          <w:color w:val="000000"/>
                          <w:sz w:val="22"/>
                          <w:szCs w:val="22"/>
                        </w:rPr>
                        <w:t>userid</w:t>
                      </w:r>
                      <w:proofErr w:type="spellEnd"/>
                      <w:r w:rsidRPr="008C636E">
                        <w:rPr>
                          <w:rStyle w:val="normaltextrun"/>
                          <w:rFonts w:ascii="Calibri" w:hAnsi="Calibri" w:cs="Calibri"/>
                          <w:color w:val="000000"/>
                          <w:sz w:val="22"/>
                          <w:szCs w:val="22"/>
                        </w:rPr>
                        <w:t xml:space="preserve"> / password mechanism for authentication to the DSB GUI. Whilst such a mechanism is common practice, the latest industry best practice now utilises multi-factor authentication (MFA) to provide an additional layer of security. </w:t>
                      </w:r>
                    </w:p>
                    <w:p w14:paraId="7BDA4A9F"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8C636E">
                        <w:rPr>
                          <w:rStyle w:val="normaltextrun"/>
                          <w:rFonts w:ascii="Calibri" w:hAnsi="Calibri" w:cs="Calibri"/>
                          <w:color w:val="000000"/>
                          <w:sz w:val="22"/>
                          <w:szCs w:val="22"/>
                        </w:rPr>
                        <w:t xml:space="preserve">The Applied Cybersecurity Division of the US National Institute for Standards and Technology (NIST) provides a useful description of MFA and how it works6.  </w:t>
                      </w:r>
                    </w:p>
                    <w:p w14:paraId="006DBF2F" w14:textId="77777777" w:rsidR="00D52BA4" w:rsidRPr="008C636E" w:rsidRDefault="00D52BA4" w:rsidP="008C636E">
                      <w:pPr>
                        <w:pStyle w:val="paragraph"/>
                        <w:spacing w:before="240" w:after="120" w:line="276" w:lineRule="auto"/>
                        <w:textAlignment w:val="baseline"/>
                        <w:rPr>
                          <w:rStyle w:val="normaltextrun"/>
                          <w:rFonts w:ascii="Calibri" w:hAnsi="Calibri" w:cs="Calibri"/>
                          <w:color w:val="000000"/>
                          <w:sz w:val="22"/>
                          <w:szCs w:val="22"/>
                        </w:rPr>
                      </w:pPr>
                      <w:r w:rsidRPr="008C636E">
                        <w:rPr>
                          <w:rStyle w:val="normaltextrun"/>
                          <w:rFonts w:ascii="Calibri" w:hAnsi="Calibri" w:cs="Calibri"/>
                          <w:color w:val="000000"/>
                          <w:sz w:val="22"/>
                          <w:szCs w:val="22"/>
                        </w:rPr>
                        <w:t xml:space="preserve">The DSB notes that most industry and government guidelines on cyber- authentication recommend the use of MFA and therefore the DSB would like to receive feedback on whether a migration to MFA should be considered in 2020.  </w:t>
                      </w:r>
                    </w:p>
                    <w:p w14:paraId="6A44D839" w14:textId="2F0E910E" w:rsidR="00D52BA4" w:rsidRDefault="00D52BA4" w:rsidP="008C636E">
                      <w:pPr>
                        <w:pStyle w:val="paragraph"/>
                        <w:spacing w:before="240" w:beforeAutospacing="0" w:after="120" w:afterAutospacing="0" w:line="276" w:lineRule="auto"/>
                        <w:textAlignment w:val="baseline"/>
                      </w:pPr>
                      <w:r w:rsidRPr="008C636E">
                        <w:rPr>
                          <w:rStyle w:val="normaltextrun"/>
                          <w:rFonts w:ascii="Calibri" w:hAnsi="Calibri" w:cs="Calibri"/>
                          <w:b/>
                          <w:color w:val="000000"/>
                          <w:sz w:val="22"/>
                          <w:szCs w:val="22"/>
                        </w:rPr>
                        <w:t>CP1 Question:</w:t>
                      </w:r>
                      <w:r w:rsidRPr="008C636E">
                        <w:rPr>
                          <w:rStyle w:val="normaltextrun"/>
                          <w:rFonts w:ascii="Calibri" w:hAnsi="Calibri" w:cs="Calibri"/>
                          <w:color w:val="000000"/>
                          <w:sz w:val="22"/>
                          <w:szCs w:val="22"/>
                        </w:rPr>
                        <w:t xml:space="preserve"> Should the DSB GUI support multi-factor authentication to match best practice cyber-authentication guidelines?</w:t>
                      </w:r>
                    </w:p>
                  </w:txbxContent>
                </v:textbox>
                <w10:wrap type="square" anchorx="margin"/>
              </v:shape>
            </w:pict>
          </mc:Fallback>
        </mc:AlternateContent>
      </w:r>
      <w:r>
        <w:t xml:space="preserve">Q5.1 – </w:t>
      </w:r>
      <w:r w:rsidR="00D33229">
        <w:t>GUI MULTI-FACTOR AUTHENTICATION</w:t>
      </w:r>
      <w:bookmarkEnd w:id="109"/>
      <w:bookmarkEnd w:id="110"/>
      <w:bookmarkEnd w:id="111"/>
    </w:p>
    <w:p w14:paraId="32802B57" w14:textId="36089520" w:rsidR="008C636E" w:rsidRDefault="008C636E" w:rsidP="008C636E">
      <w:pPr>
        <w:rPr>
          <w:u w:val="single"/>
        </w:rPr>
      </w:pPr>
      <w:r>
        <w:rPr>
          <w:u w:val="single"/>
        </w:rPr>
        <w:t>Industry Responses</w:t>
      </w:r>
    </w:p>
    <w:p w14:paraId="7B1A280A" w14:textId="77777777" w:rsidR="008C636E" w:rsidRPr="00BB1C2A" w:rsidRDefault="008C636E" w:rsidP="008C636E">
      <w:pPr>
        <w:spacing w:before="240" w:after="120" w:line="276" w:lineRule="auto"/>
      </w:pPr>
      <w:r>
        <w:t>The responses received to the question posed in the first consultation are set out below</w:t>
      </w:r>
    </w:p>
    <w:tbl>
      <w:tblPr>
        <w:tblW w:w="3072"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2C74B9" w:rsidRPr="002C68AE" w14:paraId="62E27BD4" w14:textId="77777777" w:rsidTr="002C74B9">
        <w:trPr>
          <w:trHeight w:val="288"/>
        </w:trPr>
        <w:tc>
          <w:tcPr>
            <w:tcW w:w="2127" w:type="dxa"/>
            <w:vMerge w:val="restart"/>
            <w:shd w:val="clear" w:color="auto" w:fill="auto"/>
            <w:noWrap/>
            <w:vAlign w:val="center"/>
            <w:hideMark/>
          </w:tcPr>
          <w:p w14:paraId="357F037E" w14:textId="77777777" w:rsidR="002C74B9" w:rsidRPr="002C68AE" w:rsidRDefault="002C74B9" w:rsidP="00C47967">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64B5CCEA" w14:textId="77777777" w:rsidR="002C74B9" w:rsidRPr="002C68AE" w:rsidRDefault="002C74B9" w:rsidP="00C47967">
            <w:pPr>
              <w:spacing w:after="0" w:line="240" w:lineRule="auto"/>
              <w:jc w:val="center"/>
              <w:rPr>
                <w:rFonts w:ascii="Calibri" w:eastAsia="Times New Roman" w:hAnsi="Calibri" w:cs="Calibri"/>
                <w:b/>
                <w:bCs/>
                <w:color w:val="000000"/>
                <w:sz w:val="21"/>
                <w:szCs w:val="21"/>
                <w:lang w:eastAsia="en-GB"/>
              </w:rPr>
            </w:pPr>
            <w:r w:rsidRPr="002C68AE">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2D832C8A" w14:textId="77777777" w:rsidR="002C74B9" w:rsidRPr="002C68AE" w:rsidRDefault="002C74B9" w:rsidP="00C47967">
            <w:pPr>
              <w:spacing w:after="0" w:line="240" w:lineRule="auto"/>
              <w:jc w:val="center"/>
              <w:rPr>
                <w:rFonts w:ascii="Calibri" w:eastAsia="Times New Roman" w:hAnsi="Calibri" w:cs="Calibri"/>
                <w:b/>
                <w:bCs/>
                <w:color w:val="000000"/>
                <w:sz w:val="21"/>
                <w:szCs w:val="21"/>
                <w:lang w:eastAsia="en-GB"/>
              </w:rPr>
            </w:pPr>
            <w:r w:rsidRPr="002C68AE">
              <w:rPr>
                <w:rFonts w:ascii="Calibri" w:eastAsia="Times New Roman" w:hAnsi="Calibri" w:cs="Calibri"/>
                <w:b/>
                <w:bCs/>
                <w:color w:val="000000"/>
                <w:sz w:val="21"/>
                <w:szCs w:val="21"/>
                <w:lang w:eastAsia="en-GB"/>
              </w:rPr>
              <w:t>No</w:t>
            </w:r>
          </w:p>
        </w:tc>
      </w:tr>
      <w:tr w:rsidR="002C74B9" w:rsidRPr="002C68AE" w14:paraId="671B47C3" w14:textId="77777777" w:rsidTr="002C74B9">
        <w:trPr>
          <w:trHeight w:val="288"/>
        </w:trPr>
        <w:tc>
          <w:tcPr>
            <w:tcW w:w="2127" w:type="dxa"/>
            <w:vMerge/>
            <w:vAlign w:val="center"/>
            <w:hideMark/>
          </w:tcPr>
          <w:p w14:paraId="25B55F77" w14:textId="77777777" w:rsidR="002C74B9" w:rsidRPr="002C68AE" w:rsidRDefault="002C74B9" w:rsidP="00C47967">
            <w:pPr>
              <w:spacing w:after="0" w:line="240" w:lineRule="auto"/>
              <w:rPr>
                <w:rFonts w:ascii="Times New Roman" w:eastAsia="Times New Roman" w:hAnsi="Times New Roman" w:cs="Times New Roman"/>
                <w:sz w:val="24"/>
                <w:szCs w:val="24"/>
                <w:lang w:eastAsia="en-GB"/>
              </w:rPr>
            </w:pPr>
          </w:p>
        </w:tc>
        <w:tc>
          <w:tcPr>
            <w:tcW w:w="289" w:type="dxa"/>
            <w:shd w:val="clear" w:color="000000" w:fill="A2D07F"/>
            <w:noWrap/>
            <w:vAlign w:val="center"/>
            <w:hideMark/>
          </w:tcPr>
          <w:p w14:paraId="3A1C1DD7" w14:textId="77777777" w:rsidR="002C74B9" w:rsidRPr="002C68AE" w:rsidRDefault="002C74B9" w:rsidP="00C47967">
            <w:pPr>
              <w:spacing w:after="0" w:line="240" w:lineRule="auto"/>
              <w:jc w:val="center"/>
              <w:rPr>
                <w:rFonts w:ascii="Calibri" w:eastAsia="Times New Roman" w:hAnsi="Calibri" w:cs="Calibri"/>
                <w:b/>
                <w:bCs/>
                <w:color w:val="000000"/>
                <w:sz w:val="21"/>
                <w:szCs w:val="21"/>
                <w:lang w:eastAsia="en-GB"/>
              </w:rPr>
            </w:pPr>
            <w:r w:rsidRPr="002C68AE">
              <w:rPr>
                <w:rFonts w:ascii="Calibri" w:eastAsia="Times New Roman" w:hAnsi="Calibri" w:cs="Calibri"/>
                <w:b/>
                <w:bCs/>
                <w:color w:val="000000"/>
                <w:sz w:val="21"/>
                <w:szCs w:val="21"/>
                <w:lang w:eastAsia="en-GB"/>
              </w:rPr>
              <w:t>7</w:t>
            </w:r>
          </w:p>
        </w:tc>
        <w:tc>
          <w:tcPr>
            <w:tcW w:w="656" w:type="dxa"/>
            <w:shd w:val="clear" w:color="000000" w:fill="FDC77D"/>
            <w:noWrap/>
            <w:vAlign w:val="center"/>
            <w:hideMark/>
          </w:tcPr>
          <w:p w14:paraId="63B19121" w14:textId="77777777" w:rsidR="002C74B9" w:rsidRPr="002C68AE" w:rsidRDefault="002C74B9" w:rsidP="00C47967">
            <w:pPr>
              <w:spacing w:after="0" w:line="240" w:lineRule="auto"/>
              <w:jc w:val="center"/>
              <w:rPr>
                <w:rFonts w:ascii="Calibri" w:eastAsia="Times New Roman" w:hAnsi="Calibri" w:cs="Calibri"/>
                <w:b/>
                <w:bCs/>
                <w:color w:val="000000"/>
                <w:sz w:val="21"/>
                <w:szCs w:val="21"/>
                <w:lang w:eastAsia="en-GB"/>
              </w:rPr>
            </w:pPr>
            <w:r w:rsidRPr="002C68AE">
              <w:rPr>
                <w:rFonts w:ascii="Calibri" w:eastAsia="Times New Roman" w:hAnsi="Calibri" w:cs="Calibri"/>
                <w:b/>
                <w:bCs/>
                <w:color w:val="000000"/>
                <w:sz w:val="21"/>
                <w:szCs w:val="21"/>
                <w:lang w:eastAsia="en-GB"/>
              </w:rPr>
              <w:t>4</w:t>
            </w:r>
          </w:p>
        </w:tc>
      </w:tr>
      <w:tr w:rsidR="002C74B9" w:rsidRPr="002C68AE" w14:paraId="36430A90" w14:textId="77777777" w:rsidTr="002C74B9">
        <w:trPr>
          <w:trHeight w:val="288"/>
        </w:trPr>
        <w:tc>
          <w:tcPr>
            <w:tcW w:w="2127" w:type="dxa"/>
            <w:shd w:val="clear" w:color="auto" w:fill="auto"/>
            <w:noWrap/>
            <w:vAlign w:val="center"/>
            <w:hideMark/>
          </w:tcPr>
          <w:p w14:paraId="1C9CF6EF" w14:textId="77777777" w:rsidR="002C74B9" w:rsidRPr="002C68AE" w:rsidRDefault="002C74B9" w:rsidP="00C47967">
            <w:pPr>
              <w:spacing w:after="0" w:line="240" w:lineRule="auto"/>
              <w:jc w:val="right"/>
              <w:rPr>
                <w:rFonts w:ascii="Calibri" w:eastAsia="Times New Roman" w:hAnsi="Calibri" w:cs="Calibri"/>
                <w:color w:val="000000"/>
                <w:sz w:val="21"/>
                <w:szCs w:val="21"/>
                <w:lang w:eastAsia="en-GB"/>
              </w:rPr>
            </w:pPr>
            <w:r w:rsidRPr="002C68AE">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4CB9E24D" w14:textId="77777777" w:rsidR="002C74B9" w:rsidRPr="002C68AE" w:rsidRDefault="002C74B9" w:rsidP="00C47967">
            <w:pPr>
              <w:spacing w:after="0" w:line="240" w:lineRule="auto"/>
              <w:jc w:val="center"/>
              <w:rPr>
                <w:rFonts w:ascii="Calibri" w:eastAsia="Times New Roman" w:hAnsi="Calibri" w:cs="Calibri"/>
                <w:color w:val="000000"/>
                <w:sz w:val="21"/>
                <w:szCs w:val="21"/>
                <w:lang w:eastAsia="en-GB"/>
              </w:rPr>
            </w:pPr>
            <w:r w:rsidRPr="002C68AE">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122B75A6" w14:textId="77777777" w:rsidR="002C74B9" w:rsidRPr="002C68AE" w:rsidRDefault="002C74B9" w:rsidP="00C47967">
            <w:pPr>
              <w:spacing w:after="0" w:line="240" w:lineRule="auto"/>
              <w:jc w:val="center"/>
              <w:rPr>
                <w:rFonts w:ascii="Calibri" w:eastAsia="Times New Roman" w:hAnsi="Calibri" w:cs="Calibri"/>
                <w:color w:val="FFFFFF"/>
                <w:sz w:val="21"/>
                <w:szCs w:val="21"/>
                <w:lang w:eastAsia="en-GB"/>
              </w:rPr>
            </w:pPr>
            <w:r w:rsidRPr="002C68AE">
              <w:rPr>
                <w:rFonts w:ascii="Calibri" w:eastAsia="Times New Roman" w:hAnsi="Calibri" w:cs="Calibri"/>
                <w:color w:val="FFFFFF"/>
                <w:sz w:val="21"/>
                <w:szCs w:val="21"/>
                <w:lang w:eastAsia="en-GB"/>
              </w:rPr>
              <w:t>0</w:t>
            </w:r>
          </w:p>
        </w:tc>
      </w:tr>
      <w:tr w:rsidR="002C74B9" w:rsidRPr="002C68AE" w14:paraId="2F6B134A" w14:textId="77777777" w:rsidTr="002C74B9">
        <w:trPr>
          <w:trHeight w:val="288"/>
        </w:trPr>
        <w:tc>
          <w:tcPr>
            <w:tcW w:w="2127" w:type="dxa"/>
            <w:shd w:val="clear" w:color="auto" w:fill="auto"/>
            <w:noWrap/>
            <w:vAlign w:val="center"/>
            <w:hideMark/>
          </w:tcPr>
          <w:p w14:paraId="44F9024A" w14:textId="77777777" w:rsidR="002C74B9" w:rsidRPr="002C68AE" w:rsidRDefault="002C74B9" w:rsidP="00C47967">
            <w:pPr>
              <w:spacing w:after="0" w:line="240" w:lineRule="auto"/>
              <w:jc w:val="right"/>
              <w:rPr>
                <w:rFonts w:ascii="Calibri" w:eastAsia="Times New Roman" w:hAnsi="Calibri" w:cs="Calibri"/>
                <w:color w:val="000000"/>
                <w:sz w:val="21"/>
                <w:szCs w:val="21"/>
                <w:lang w:eastAsia="en-GB"/>
              </w:rPr>
            </w:pPr>
            <w:r w:rsidRPr="002C68AE">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1FD9B1C4" w14:textId="77777777" w:rsidR="002C74B9" w:rsidRPr="002C68AE" w:rsidRDefault="002C74B9" w:rsidP="00C47967">
            <w:pPr>
              <w:spacing w:after="0" w:line="240" w:lineRule="auto"/>
              <w:jc w:val="center"/>
              <w:rPr>
                <w:rFonts w:ascii="Calibri" w:eastAsia="Times New Roman" w:hAnsi="Calibri" w:cs="Calibri"/>
                <w:color w:val="000000"/>
                <w:sz w:val="21"/>
                <w:szCs w:val="21"/>
                <w:lang w:eastAsia="en-GB"/>
              </w:rPr>
            </w:pPr>
            <w:r w:rsidRPr="002C68AE">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7D8580B8" w14:textId="77777777" w:rsidR="002C74B9" w:rsidRPr="002C68AE" w:rsidRDefault="002C74B9" w:rsidP="00C47967">
            <w:pPr>
              <w:spacing w:after="0" w:line="240" w:lineRule="auto"/>
              <w:jc w:val="center"/>
              <w:rPr>
                <w:rFonts w:ascii="Calibri" w:eastAsia="Times New Roman" w:hAnsi="Calibri" w:cs="Calibri"/>
                <w:color w:val="000000"/>
                <w:sz w:val="21"/>
                <w:szCs w:val="21"/>
                <w:lang w:eastAsia="en-GB"/>
              </w:rPr>
            </w:pPr>
            <w:r w:rsidRPr="002C68AE">
              <w:rPr>
                <w:rFonts w:ascii="Calibri" w:eastAsia="Times New Roman" w:hAnsi="Calibri" w:cs="Calibri"/>
                <w:color w:val="000000"/>
                <w:sz w:val="21"/>
                <w:szCs w:val="21"/>
                <w:lang w:eastAsia="en-GB"/>
              </w:rPr>
              <w:t>4</w:t>
            </w:r>
          </w:p>
        </w:tc>
      </w:tr>
    </w:tbl>
    <w:p w14:paraId="75D2E308" w14:textId="77777777" w:rsidR="008C636E" w:rsidRDefault="008C636E" w:rsidP="008C636E">
      <w:pPr>
        <w:spacing w:before="240" w:after="120" w:line="276" w:lineRule="auto"/>
      </w:pPr>
      <w:r>
        <w:t>Responses were mixed, with the majority generally supportive, but with a significant minority, primarily trading venues, focusing on likely cost impact. Of those who were supportive, there was a mention of the need to implement self-service provisioning in order to minimize impact on the help desk. Other considerations included the need for password expiry; support for federated single-sign on; and different layers of authentication depending on GUI usage (ISIN search vs ISIN creation).</w:t>
      </w:r>
    </w:p>
    <w:p w14:paraId="3F276547" w14:textId="77777777" w:rsidR="00093504" w:rsidRDefault="00093504">
      <w:pPr>
        <w:spacing w:before="240"/>
      </w:pPr>
      <w:r>
        <w:t>Of those who disagreed, the key concerns were that the cost might be too great; the implementation may negatively impact the user experience; and the benefits may not outweigh the costs given that GUI-based activity forms a small portion of DSB industry interaction.</w:t>
      </w:r>
    </w:p>
    <w:p w14:paraId="77EF91D0" w14:textId="0D2AD483" w:rsidR="002C74B9" w:rsidRDefault="002C74B9" w:rsidP="00944AAF">
      <w:pPr>
        <w:spacing w:before="240"/>
        <w:rPr>
          <w:u w:val="single"/>
        </w:rPr>
      </w:pPr>
      <w:r>
        <w:rPr>
          <w:u w:val="single"/>
        </w:rPr>
        <w:t>Analysis of Responses</w:t>
      </w:r>
    </w:p>
    <w:p w14:paraId="659632DE" w14:textId="77777777" w:rsidR="00093504" w:rsidRPr="00914F03" w:rsidRDefault="00093504" w:rsidP="00093504">
      <w:r>
        <w:t>While there was a clear majority in favour of moving forward on this proposal, the responses also highlighted some concerns that would need to be addressed if the DSB were to implement such a service. Taking the concerns in turn:</w:t>
      </w:r>
    </w:p>
    <w:p w14:paraId="4E2A69FB" w14:textId="77777777" w:rsidR="00093504" w:rsidRPr="00914F03" w:rsidRDefault="00093504" w:rsidP="00093504">
      <w:pPr>
        <w:pStyle w:val="ListParagraph"/>
        <w:numPr>
          <w:ilvl w:val="0"/>
          <w:numId w:val="53"/>
        </w:numPr>
        <w:rPr>
          <w:i/>
        </w:rPr>
      </w:pPr>
      <w:r w:rsidRPr="00914F03">
        <w:rPr>
          <w:i/>
        </w:rPr>
        <w:t>Potential high costs</w:t>
      </w:r>
    </w:p>
    <w:p w14:paraId="4C309B46" w14:textId="77777777" w:rsidR="00093504" w:rsidRDefault="00093504" w:rsidP="00093504">
      <w:pPr>
        <w:pStyle w:val="ListParagraph"/>
      </w:pPr>
      <w:r>
        <w:t>The DSB has provided costs within this document to allow an evaluation of the cost benefit.</w:t>
      </w:r>
    </w:p>
    <w:p w14:paraId="7FC1A524" w14:textId="77777777" w:rsidR="00093504" w:rsidRDefault="00093504" w:rsidP="00093504">
      <w:pPr>
        <w:pStyle w:val="ListParagraph"/>
      </w:pPr>
    </w:p>
    <w:p w14:paraId="42E958AE" w14:textId="77777777" w:rsidR="00093504" w:rsidRDefault="00093504" w:rsidP="00093504">
      <w:pPr>
        <w:pStyle w:val="ListParagraph"/>
        <w:numPr>
          <w:ilvl w:val="0"/>
          <w:numId w:val="53"/>
        </w:numPr>
        <w:rPr>
          <w:i/>
        </w:rPr>
      </w:pPr>
      <w:r w:rsidRPr="00914F03">
        <w:rPr>
          <w:i/>
        </w:rPr>
        <w:t>Implementation may negatively impact the user experience</w:t>
      </w:r>
    </w:p>
    <w:p w14:paraId="0CFBD5C5" w14:textId="77777777" w:rsidR="00093504" w:rsidRDefault="00093504" w:rsidP="00093504">
      <w:pPr>
        <w:pStyle w:val="ListParagraph"/>
      </w:pPr>
      <w:r>
        <w:t>DSB does not anticipate a significant usability issue as the MFA does not need to be triggered as part of every login. The DSB intends to work with the TAC to agree the design before any implementation in order to ensure the user experience is not unduly impacted.</w:t>
      </w:r>
    </w:p>
    <w:p w14:paraId="34448FC7" w14:textId="77777777" w:rsidR="00093504" w:rsidRDefault="00093504" w:rsidP="00093504">
      <w:pPr>
        <w:pStyle w:val="ListParagraph"/>
      </w:pPr>
    </w:p>
    <w:p w14:paraId="454C9B63" w14:textId="32559245" w:rsidR="00093504" w:rsidRDefault="00093504" w:rsidP="00093504">
      <w:pPr>
        <w:pStyle w:val="ListParagraph"/>
        <w:numPr>
          <w:ilvl w:val="0"/>
          <w:numId w:val="53"/>
        </w:numPr>
        <w:rPr>
          <w:i/>
        </w:rPr>
      </w:pPr>
      <w:r>
        <w:rPr>
          <w:i/>
        </w:rPr>
        <w:t>B</w:t>
      </w:r>
      <w:r w:rsidRPr="00914F03">
        <w:rPr>
          <w:i/>
        </w:rPr>
        <w:t>enefits may not outweigh the costs given that GUI-based activity forms a small portion of DSB industry interaction</w:t>
      </w:r>
    </w:p>
    <w:p w14:paraId="26F1F37E" w14:textId="77777777" w:rsidR="00093504" w:rsidRDefault="00093504" w:rsidP="00093504">
      <w:pPr>
        <w:pStyle w:val="ListParagraph"/>
      </w:pPr>
      <w:r>
        <w:t xml:space="preserve">Costs have been provided below to allow this evaluation to take place. </w:t>
      </w:r>
    </w:p>
    <w:p w14:paraId="2B16EA0A" w14:textId="77777777" w:rsidR="00093504" w:rsidRDefault="00093504" w:rsidP="00093504">
      <w:pPr>
        <w:pStyle w:val="ListParagraph"/>
      </w:pPr>
    </w:p>
    <w:p w14:paraId="291D3D21" w14:textId="77777777" w:rsidR="00093504" w:rsidRDefault="00093504" w:rsidP="00093504">
      <w:pPr>
        <w:pStyle w:val="ListParagraph"/>
      </w:pPr>
      <w:r>
        <w:t>The respondent states that only a small portion of DSB industry activity is via the GUI. However, over 70% of institutions using the service access it exclusively via the GUI and therefore the DSB does not believe it is accurate to state that GUI activity forms a small portion of industry interaction.</w:t>
      </w:r>
    </w:p>
    <w:p w14:paraId="61BED701" w14:textId="77777777" w:rsidR="00093504" w:rsidRDefault="00093504" w:rsidP="00093504">
      <w:pPr>
        <w:pStyle w:val="ListParagraph"/>
      </w:pPr>
    </w:p>
    <w:p w14:paraId="0844F31E" w14:textId="4AD3893C" w:rsidR="00093504" w:rsidRDefault="00093504" w:rsidP="00093504">
      <w:pPr>
        <w:pStyle w:val="ListParagraph"/>
        <w:spacing w:before="240" w:after="120" w:line="276" w:lineRule="auto"/>
      </w:pPr>
      <w:r>
        <w:t xml:space="preserve">The DSB </w:t>
      </w:r>
      <w:r w:rsidR="00597165">
        <w:t xml:space="preserve">also </w:t>
      </w:r>
      <w:r>
        <w:t>notes that regardless of GUI activity levels, the key risks that the DSB intends to mitigate by MFA are not related to the volume of activity of the GUI and therefore the DSB does not see volume of activity as a valid metric for either an approval or disapproval decision of this proposal. The key risks the DSB hopes to mitigate are listed in the Risk Analysis section below.</w:t>
      </w:r>
    </w:p>
    <w:p w14:paraId="365C9BB9" w14:textId="6C36AAD7" w:rsidR="008C636E" w:rsidRDefault="008C636E" w:rsidP="00093504">
      <w:pPr>
        <w:spacing w:before="240" w:after="120" w:line="276" w:lineRule="auto"/>
      </w:pPr>
      <w:r>
        <w:t>The consultation responses were reviewed at the 18 June TAC meeting. The TAC noted that whilst the GUI itself contained little personally identifiable information or other sensitive data, it provided a doorway into the core system, and therefore robust cyber-security approaches should be considered. The TAC also requested that the risks associated with a GUI security breach should be articulated, and these are detailed below.</w:t>
      </w:r>
    </w:p>
    <w:p w14:paraId="19CEDEC0" w14:textId="77777777" w:rsidR="008C636E" w:rsidRPr="002C74B9" w:rsidRDefault="008C636E" w:rsidP="008C636E">
      <w:pPr>
        <w:spacing w:before="240" w:after="120" w:line="276" w:lineRule="auto"/>
        <w:rPr>
          <w:b/>
          <w:bCs/>
        </w:rPr>
      </w:pPr>
      <w:r w:rsidRPr="002C74B9">
        <w:rPr>
          <w:b/>
          <w:bCs/>
        </w:rPr>
        <w:t>Risk Analysis</w:t>
      </w:r>
    </w:p>
    <w:p w14:paraId="30443DB9" w14:textId="77777777" w:rsidR="008C636E" w:rsidRDefault="008C636E" w:rsidP="008C636E">
      <w:pPr>
        <w:spacing w:before="240" w:after="120" w:line="276" w:lineRule="auto"/>
        <w:rPr>
          <w:bCs/>
        </w:rPr>
      </w:pPr>
      <w:r>
        <w:rPr>
          <w:bCs/>
        </w:rPr>
        <w:t xml:space="preserve">The key GUI security risk that would be mitigated by MFA relates to ease of impersonation of one user by another. MFA mitigates this risk by enforcing multiple channels of authentication by the same person rather than just the existing </w:t>
      </w:r>
      <w:proofErr w:type="spellStart"/>
      <w:r>
        <w:rPr>
          <w:bCs/>
        </w:rPr>
        <w:t>userid</w:t>
      </w:r>
      <w:proofErr w:type="spellEnd"/>
      <w:r>
        <w:rPr>
          <w:bCs/>
        </w:rPr>
        <w:t>/password combination.</w:t>
      </w:r>
    </w:p>
    <w:p w14:paraId="4500B11B" w14:textId="010D820B" w:rsidR="008C636E" w:rsidRDefault="008C636E" w:rsidP="008C636E">
      <w:pPr>
        <w:spacing w:before="240" w:after="120" w:line="276" w:lineRule="auto"/>
        <w:rPr>
          <w:bCs/>
        </w:rPr>
      </w:pPr>
      <w:r>
        <w:rPr>
          <w:bCs/>
        </w:rPr>
        <w:t xml:space="preserve">The DSB foresees </w:t>
      </w:r>
      <w:r w:rsidR="004F088F">
        <w:rPr>
          <w:bCs/>
        </w:rPr>
        <w:t xml:space="preserve">4 </w:t>
      </w:r>
      <w:r>
        <w:rPr>
          <w:bCs/>
        </w:rPr>
        <w:t>key risks that would be mitigated by MFA:</w:t>
      </w:r>
    </w:p>
    <w:p w14:paraId="191F8907" w14:textId="7E4298DD" w:rsidR="004F088F" w:rsidRDefault="004F088F" w:rsidP="008C636E">
      <w:pPr>
        <w:pStyle w:val="ListParagraph"/>
        <w:numPr>
          <w:ilvl w:val="0"/>
          <w:numId w:val="34"/>
        </w:numPr>
        <w:spacing w:before="240" w:after="120" w:line="276" w:lineRule="auto"/>
        <w:rPr>
          <w:bCs/>
        </w:rPr>
      </w:pPr>
      <w:r>
        <w:rPr>
          <w:bCs/>
        </w:rPr>
        <w:t>The GUI may act as a gateway into the core system, which could open up additional security risks if an attacker were to compromise the GUI</w:t>
      </w:r>
    </w:p>
    <w:p w14:paraId="46973CEA" w14:textId="35044506" w:rsidR="008C636E" w:rsidRDefault="004F088F" w:rsidP="008C636E">
      <w:pPr>
        <w:pStyle w:val="ListParagraph"/>
        <w:numPr>
          <w:ilvl w:val="0"/>
          <w:numId w:val="34"/>
        </w:numPr>
        <w:spacing w:before="240" w:after="120" w:line="276" w:lineRule="auto"/>
        <w:rPr>
          <w:bCs/>
        </w:rPr>
      </w:pPr>
      <w:r>
        <w:rPr>
          <w:bCs/>
        </w:rPr>
        <w:t xml:space="preserve">An attacker may be able </w:t>
      </w:r>
      <w:r w:rsidR="008C636E">
        <w:rPr>
          <w:bCs/>
        </w:rPr>
        <w:t>to impersonate a DSB internal support function, which would risk exposing potentially market-sensitive information such as the name of the creator of any given ISIN or access to meta-data such as the names of the organizations who are creating the most ISINs for any given product</w:t>
      </w:r>
    </w:p>
    <w:p w14:paraId="3308AA43" w14:textId="353CA937" w:rsidR="008C636E" w:rsidRDefault="004F088F" w:rsidP="008C636E">
      <w:pPr>
        <w:pStyle w:val="ListParagraph"/>
        <w:numPr>
          <w:ilvl w:val="0"/>
          <w:numId w:val="34"/>
        </w:numPr>
        <w:spacing w:before="240" w:after="120" w:line="276" w:lineRule="auto"/>
        <w:rPr>
          <w:bCs/>
        </w:rPr>
      </w:pPr>
      <w:r>
        <w:rPr>
          <w:bCs/>
        </w:rPr>
        <w:t xml:space="preserve">An attacker may be able </w:t>
      </w:r>
      <w:r w:rsidR="008C636E">
        <w:rPr>
          <w:bCs/>
        </w:rPr>
        <w:t>to impersonate a more privileged user</w:t>
      </w:r>
      <w:r>
        <w:rPr>
          <w:bCs/>
        </w:rPr>
        <w:t>, thereby</w:t>
      </w:r>
      <w:r w:rsidR="008C636E">
        <w:rPr>
          <w:bCs/>
        </w:rPr>
        <w:t xml:space="preserve"> increasing costs onto other users. For example, if an infrequent user were to impersonate a standard-user, they will be able to utilize that account </w:t>
      </w:r>
      <w:r>
        <w:rPr>
          <w:bCs/>
        </w:rPr>
        <w:t>to avoid paying their own fair share of the DSB’s overheads</w:t>
      </w:r>
      <w:r w:rsidR="008C636E">
        <w:rPr>
          <w:bCs/>
        </w:rPr>
        <w:t>, thereby depriving the DSB of revenue that would otherwise be used to lower other DSB users’ costs</w:t>
      </w:r>
    </w:p>
    <w:p w14:paraId="6E788A3A" w14:textId="769BE946" w:rsidR="008C636E" w:rsidRDefault="006C2702" w:rsidP="008C636E">
      <w:pPr>
        <w:pStyle w:val="ListParagraph"/>
        <w:numPr>
          <w:ilvl w:val="0"/>
          <w:numId w:val="34"/>
        </w:numPr>
        <w:spacing w:before="240" w:after="120" w:line="276" w:lineRule="auto"/>
        <w:rPr>
          <w:bCs/>
        </w:rPr>
      </w:pPr>
      <w:r>
        <w:rPr>
          <w:bCs/>
        </w:rPr>
        <w:t xml:space="preserve">An attacker may be able </w:t>
      </w:r>
      <w:r w:rsidR="008C636E">
        <w:rPr>
          <w:bCs/>
        </w:rPr>
        <w:t>to hide the</w:t>
      </w:r>
      <w:r>
        <w:rPr>
          <w:bCs/>
        </w:rPr>
        <w:t>ir</w:t>
      </w:r>
      <w:r w:rsidR="008C636E">
        <w:rPr>
          <w:bCs/>
        </w:rPr>
        <w:t xml:space="preserve"> true identity</w:t>
      </w:r>
      <w:r>
        <w:rPr>
          <w:bCs/>
        </w:rPr>
        <w:t>, which</w:t>
      </w:r>
      <w:r w:rsidR="008C636E">
        <w:rPr>
          <w:bCs/>
        </w:rPr>
        <w:t xml:space="preserve"> lowers the hurdle for a cyber-attack, as the attacker will be more confident that their true identity will not be discovered during the forensics that will be performed after an attack. </w:t>
      </w:r>
    </w:p>
    <w:p w14:paraId="215BD4A0" w14:textId="4E7C623B" w:rsidR="008C636E" w:rsidRDefault="002C74B9" w:rsidP="00163EB4">
      <w:pPr>
        <w:spacing w:before="240" w:after="120" w:line="276" w:lineRule="auto"/>
        <w:rPr>
          <w:b/>
          <w:bCs/>
          <w:u w:val="single"/>
        </w:rPr>
      </w:pPr>
      <w:r>
        <w:rPr>
          <w:u w:val="single"/>
        </w:rPr>
        <w:t>DSB Proposed Next Steps</w:t>
      </w:r>
    </w:p>
    <w:p w14:paraId="12186EBE" w14:textId="281DF998" w:rsidR="008C636E" w:rsidRDefault="00454808" w:rsidP="008C636E">
      <w:pPr>
        <w:spacing w:before="240" w:after="120" w:line="276" w:lineRule="auto"/>
      </w:pPr>
      <w:r>
        <w:lastRenderedPageBreak/>
        <w:t>T</w:t>
      </w:r>
      <w:r w:rsidR="008C636E">
        <w:t>he DSB proposes to implement a minimal MFA solution with the narrow remit of only mitigating the above identified risks. This solution would include self-provisioning as well as password expiry in order to minimize incremental on-going load on the support desk.</w:t>
      </w:r>
    </w:p>
    <w:p w14:paraId="4E5D1982" w14:textId="77777777" w:rsidR="008C636E" w:rsidRPr="002C74B9" w:rsidRDefault="008C636E" w:rsidP="00A109B4">
      <w:pPr>
        <w:pStyle w:val="paragraph"/>
        <w:spacing w:line="276" w:lineRule="auto"/>
        <w:textAlignment w:val="baseline"/>
        <w:rPr>
          <w:rFonts w:ascii="Calibri" w:hAnsi="Calibri" w:cs="Calibri"/>
          <w:sz w:val="22"/>
        </w:rPr>
      </w:pPr>
      <w:r w:rsidRPr="002C74B9">
        <w:rPr>
          <w:rFonts w:ascii="Calibri" w:hAnsi="Calibri" w:cs="Calibri"/>
          <w:sz w:val="22"/>
        </w:rPr>
        <w:t xml:space="preserve">Governance: TAC to be involved in the design and implementation </w:t>
      </w:r>
    </w:p>
    <w:p w14:paraId="64A869B0" w14:textId="77777777" w:rsidR="008C636E" w:rsidRPr="002C74B9" w:rsidRDefault="008C636E" w:rsidP="002C74B9">
      <w:pPr>
        <w:pStyle w:val="paragraph"/>
        <w:spacing w:line="276" w:lineRule="auto"/>
        <w:textAlignment w:val="baseline"/>
        <w:rPr>
          <w:rFonts w:ascii="Calibri" w:hAnsi="Calibri" w:cs="Calibri"/>
          <w:sz w:val="22"/>
        </w:rPr>
      </w:pPr>
      <w:r w:rsidRPr="002C74B9">
        <w:rPr>
          <w:rFonts w:ascii="Calibri" w:hAnsi="Calibri" w:cs="Calibri"/>
          <w:sz w:val="22"/>
        </w:rPr>
        <w:t>Costs:</w:t>
      </w:r>
    </w:p>
    <w:p w14:paraId="2BEB807F" w14:textId="77777777" w:rsidR="008C636E" w:rsidRPr="002C74B9" w:rsidRDefault="008C636E" w:rsidP="002C74B9">
      <w:pPr>
        <w:pStyle w:val="paragraph"/>
        <w:numPr>
          <w:ilvl w:val="0"/>
          <w:numId w:val="32"/>
        </w:numPr>
        <w:spacing w:line="276" w:lineRule="auto"/>
        <w:textAlignment w:val="baseline"/>
        <w:rPr>
          <w:rFonts w:ascii="Calibri" w:hAnsi="Calibri" w:cs="Calibri"/>
          <w:sz w:val="22"/>
        </w:rPr>
      </w:pPr>
      <w:r w:rsidRPr="002C74B9">
        <w:rPr>
          <w:rFonts w:ascii="Calibri" w:hAnsi="Calibri" w:cs="Calibri"/>
          <w:sz w:val="22"/>
        </w:rPr>
        <w:t xml:space="preserve">Capex: €40k for analysis </w:t>
      </w:r>
    </w:p>
    <w:p w14:paraId="04AD4FC6" w14:textId="77777777" w:rsidR="008C636E" w:rsidRPr="002C74B9" w:rsidRDefault="008C636E" w:rsidP="002C74B9">
      <w:pPr>
        <w:pStyle w:val="paragraph"/>
        <w:numPr>
          <w:ilvl w:val="0"/>
          <w:numId w:val="32"/>
        </w:numPr>
        <w:spacing w:line="276" w:lineRule="auto"/>
        <w:textAlignment w:val="baseline"/>
        <w:rPr>
          <w:rFonts w:ascii="Calibri" w:hAnsi="Calibri" w:cs="Calibri"/>
          <w:sz w:val="22"/>
        </w:rPr>
      </w:pPr>
      <w:r w:rsidRPr="002C74B9">
        <w:rPr>
          <w:rFonts w:ascii="Calibri" w:hAnsi="Calibri" w:cs="Calibri"/>
          <w:sz w:val="22"/>
        </w:rPr>
        <w:t>Capex: €160k for implementation</w:t>
      </w:r>
    </w:p>
    <w:p w14:paraId="07DA04EC" w14:textId="77777777" w:rsidR="008C636E" w:rsidRPr="002C74B9" w:rsidRDefault="008C636E" w:rsidP="002C74B9">
      <w:pPr>
        <w:pStyle w:val="paragraph"/>
        <w:numPr>
          <w:ilvl w:val="0"/>
          <w:numId w:val="32"/>
        </w:numPr>
        <w:spacing w:line="276" w:lineRule="auto"/>
        <w:textAlignment w:val="baseline"/>
        <w:rPr>
          <w:rFonts w:ascii="Calibri" w:hAnsi="Calibri" w:cs="Calibri"/>
          <w:sz w:val="22"/>
        </w:rPr>
      </w:pPr>
      <w:proofErr w:type="spellStart"/>
      <w:r w:rsidRPr="002C74B9">
        <w:rPr>
          <w:rFonts w:ascii="Calibri" w:hAnsi="Calibri" w:cs="Calibri"/>
          <w:sz w:val="22"/>
        </w:rPr>
        <w:t>Opex</w:t>
      </w:r>
      <w:proofErr w:type="spellEnd"/>
      <w:r w:rsidRPr="002C74B9">
        <w:rPr>
          <w:rFonts w:ascii="Calibri" w:hAnsi="Calibri" w:cs="Calibri"/>
          <w:sz w:val="22"/>
        </w:rPr>
        <w:t>: €45k run cost starting in 2021</w:t>
      </w:r>
    </w:p>
    <w:p w14:paraId="51FB88BB" w14:textId="30448E2D" w:rsidR="008C636E" w:rsidRPr="002C74B9" w:rsidRDefault="00944AAF" w:rsidP="002C74B9">
      <w:pPr>
        <w:spacing w:line="256" w:lineRule="auto"/>
        <w:rPr>
          <w:rFonts w:ascii="Calibri" w:eastAsia="Times New Roman" w:hAnsi="Calibri" w:cs="Calibri"/>
          <w:szCs w:val="24"/>
          <w:lang w:eastAsia="en-GB"/>
        </w:rPr>
      </w:pPr>
      <w:r w:rsidRPr="00BB1525">
        <w:rPr>
          <w:rFonts w:eastAsia="Times New Roman"/>
          <w:color w:val="000000"/>
          <w:lang w:eastAsia="en-GB"/>
        </w:rPr>
        <w:t>Impact on DSB total costs</w:t>
      </w:r>
      <w:r w:rsidR="008C636E" w:rsidRPr="002C74B9">
        <w:rPr>
          <w:rFonts w:ascii="Calibri" w:eastAsia="Times New Roman" w:hAnsi="Calibri" w:cs="Calibri"/>
          <w:szCs w:val="24"/>
          <w:lang w:eastAsia="en-GB"/>
        </w:rPr>
        <w:t>: None in 2020; €95K in 2021-2024 (</w:t>
      </w:r>
      <w:r w:rsidR="002C74B9" w:rsidRPr="002C74B9">
        <w:rPr>
          <w:rFonts w:ascii="Calibri" w:eastAsia="Times New Roman" w:hAnsi="Calibri" w:cs="Calibri"/>
          <w:szCs w:val="24"/>
          <w:lang w:eastAsia="en-GB"/>
        </w:rPr>
        <w:t>&lt;1% increase in costs</w:t>
      </w:r>
      <w:r w:rsidR="008C636E" w:rsidRPr="002C74B9">
        <w:rPr>
          <w:rFonts w:ascii="Calibri" w:eastAsia="Times New Roman" w:hAnsi="Calibri" w:cs="Calibri"/>
          <w:szCs w:val="24"/>
          <w:lang w:eastAsia="en-GB"/>
        </w:rPr>
        <w:t>); €45K from 2025 onwards (</w:t>
      </w:r>
      <w:r w:rsidR="002C74B9" w:rsidRPr="002C74B9">
        <w:rPr>
          <w:rFonts w:ascii="Calibri" w:eastAsia="Times New Roman" w:hAnsi="Calibri" w:cs="Calibri"/>
          <w:szCs w:val="24"/>
          <w:lang w:eastAsia="en-GB"/>
        </w:rPr>
        <w:t>&lt;0.5% increase in costs</w:t>
      </w:r>
      <w:r w:rsidR="008C636E" w:rsidRPr="002C74B9">
        <w:rPr>
          <w:rFonts w:ascii="Calibri" w:eastAsia="Times New Roman" w:hAnsi="Calibri" w:cs="Calibri"/>
          <w:szCs w:val="24"/>
          <w:lang w:eastAsia="en-GB"/>
        </w:rPr>
        <w:t>)</w:t>
      </w:r>
    </w:p>
    <w:p w14:paraId="39B95436" w14:textId="38AD7ACE" w:rsidR="008C636E" w:rsidRPr="002C74B9" w:rsidRDefault="002C74B9" w:rsidP="002C74B9">
      <w:pPr>
        <w:pStyle w:val="paragraph"/>
        <w:spacing w:line="276" w:lineRule="auto"/>
        <w:textAlignment w:val="baseline"/>
        <w:rPr>
          <w:rFonts w:ascii="Calibri" w:hAnsi="Calibri" w:cs="Calibri"/>
          <w:sz w:val="22"/>
        </w:rPr>
      </w:pPr>
      <w:r w:rsidRPr="00BB1525">
        <w:rPr>
          <w:noProof/>
        </w:rPr>
        <mc:AlternateContent>
          <mc:Choice Requires="wps">
            <w:drawing>
              <wp:anchor distT="45720" distB="45720" distL="114300" distR="114300" simplePos="0" relativeHeight="251834368" behindDoc="1" locked="0" layoutInCell="1" allowOverlap="1" wp14:anchorId="52F7AA49" wp14:editId="02949CBC">
                <wp:simplePos x="0" y="0"/>
                <wp:positionH relativeFrom="margin">
                  <wp:posOffset>-91440</wp:posOffset>
                </wp:positionH>
                <wp:positionV relativeFrom="paragraph">
                  <wp:posOffset>568325</wp:posOffset>
                </wp:positionV>
                <wp:extent cx="5716905" cy="1404620"/>
                <wp:effectExtent l="0" t="0" r="17145" b="21590"/>
                <wp:wrapTight wrapText="bothSides">
                  <wp:wrapPolygon edited="0">
                    <wp:start x="0" y="0"/>
                    <wp:lineTo x="0" y="21676"/>
                    <wp:lineTo x="21593" y="21676"/>
                    <wp:lineTo x="21593"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3ADEFC8" w14:textId="3AD66026" w:rsidR="00D52BA4" w:rsidRDefault="00D52BA4" w:rsidP="008C636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2C74B9">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implement a minimal MFA solution for the GUI</w:t>
                            </w:r>
                            <w:r w:rsidRPr="002C74B9">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F7AA49" id="Text Box 45" o:spid="_x0000_s1068" type="#_x0000_t202" style="position:absolute;margin-left:-7.2pt;margin-top:44.75pt;width:450.15pt;height:110.6pt;z-index:-251482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">
                <v:textbox style="mso-fit-shape-to-text:t">
                  <w:txbxContent>
                    <w:p w14:paraId="43ADEFC8" w14:textId="3AD66026" w:rsidR="00D52BA4" w:rsidRDefault="00D52BA4" w:rsidP="008C636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2C74B9">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implement a minimal MFA solution for the GUI</w:t>
                      </w:r>
                      <w:r w:rsidRPr="002C74B9">
                        <w:rPr>
                          <w:rStyle w:val="eop"/>
                          <w:rFonts w:ascii="Calibri" w:eastAsiaTheme="majorEastAsia" w:hAnsi="Calibri" w:cs="Calibri"/>
                          <w:sz w:val="22"/>
                          <w:szCs w:val="22"/>
                        </w:rPr>
                        <w:t>?</w:t>
                      </w:r>
                    </w:p>
                  </w:txbxContent>
                </v:textbox>
                <w10:wrap type="tight" anchorx="margin"/>
              </v:shape>
            </w:pict>
          </mc:Fallback>
        </mc:AlternateContent>
      </w:r>
      <w:r w:rsidR="008C636E" w:rsidRPr="002C74B9">
        <w:rPr>
          <w:rFonts w:ascii="Calibri" w:hAnsi="Calibri" w:cs="Calibri"/>
          <w:sz w:val="22"/>
        </w:rPr>
        <w:t>DSB will not progress where run or build costs exceed the amounts set out in this document</w:t>
      </w:r>
      <w:r w:rsidR="004A156D">
        <w:rPr>
          <w:rFonts w:ascii="Calibri" w:hAnsi="Calibri" w:cs="Calibri"/>
          <w:sz w:val="22"/>
        </w:rPr>
        <w:t>.</w:t>
      </w:r>
      <w:r w:rsidR="008C636E" w:rsidRPr="002C74B9">
        <w:rPr>
          <w:rFonts w:ascii="Calibri" w:hAnsi="Calibri" w:cs="Calibri"/>
          <w:sz w:val="22"/>
        </w:rPr>
        <w:t> </w:t>
      </w:r>
    </w:p>
    <w:p w14:paraId="331114D5" w14:textId="77777777" w:rsidR="00D33229" w:rsidRDefault="00D33229" w:rsidP="00D33229">
      <w:pPr>
        <w:pStyle w:val="NoSpacing"/>
      </w:pPr>
    </w:p>
    <w:bookmarkStart w:id="112" w:name="_Ref13077745"/>
    <w:bookmarkStart w:id="113" w:name="_Ref13077760"/>
    <w:bookmarkStart w:id="114" w:name="_Toc13087155"/>
    <w:bookmarkStart w:id="115" w:name="_Toc13157241"/>
    <w:p w14:paraId="1608120F" w14:textId="30D70475" w:rsidR="00434D81" w:rsidRDefault="00163EB4" w:rsidP="00C75E9B">
      <w:pPr>
        <w:pStyle w:val="Heading3"/>
      </w:pPr>
      <w:r>
        <w:rPr>
          <w:noProof/>
          <w:lang w:eastAsia="en-GB"/>
        </w:rPr>
        <w:lastRenderedPageBreak/>
        <mc:AlternateContent>
          <mc:Choice Requires="wps">
            <w:drawing>
              <wp:anchor distT="45720" distB="45720" distL="114300" distR="114300" simplePos="0" relativeHeight="251767808" behindDoc="0" locked="0" layoutInCell="1" allowOverlap="1" wp14:anchorId="2610EFD8" wp14:editId="1A4D8EEC">
                <wp:simplePos x="0" y="0"/>
                <wp:positionH relativeFrom="margin">
                  <wp:posOffset>-25400</wp:posOffset>
                </wp:positionH>
                <wp:positionV relativeFrom="paragraph">
                  <wp:posOffset>274320</wp:posOffset>
                </wp:positionV>
                <wp:extent cx="5716905" cy="1404620"/>
                <wp:effectExtent l="0" t="0" r="17145" b="2476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5B6ADB9"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AF3209">
                              <w:rPr>
                                <w:rStyle w:val="normaltextrun"/>
                                <w:rFonts w:ascii="Calibri" w:hAnsi="Calibri" w:cs="Calibri"/>
                                <w:color w:val="000000"/>
                                <w:sz w:val="22"/>
                                <w:szCs w:val="22"/>
                              </w:rPr>
                              <w:t xml:space="preserve">The DSB IT system development and maintenance processes follow a standard Software Development Life Cycle (SDLC), which includes separate phases for design, development, testing and deployment. </w:t>
                            </w:r>
                          </w:p>
                          <w:p w14:paraId="2C33806E"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Security testing of DSB software occurs via regular third-party penetration testing in its User Acceptance Test environment and is not currently embedded within the full SDLC process. </w:t>
                            </w:r>
                          </w:p>
                          <w:p w14:paraId="4ED2B6DB"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The DSB has been asked whether it will implement current best practice to embed security considerations throughout the entire SDLC by following approaches such as NIST 800-647 in order to provide: </w:t>
                            </w:r>
                          </w:p>
                          <w:p w14:paraId="63F86CD0" w14:textId="4E174907" w:rsidR="00D52BA4" w:rsidRDefault="00D52BA4" w:rsidP="006B7B1C">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Early identification and mitigation of security vulnerabilities and misconfigurations; </w:t>
                            </w:r>
                          </w:p>
                          <w:p w14:paraId="34DEE799" w14:textId="77777777" w:rsidR="00D52BA4" w:rsidRDefault="00D52BA4" w:rsidP="00AF3209">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Awareness of potential engineering challenges caused by mandatory security controls;</w:t>
                            </w:r>
                          </w:p>
                          <w:p w14:paraId="66D279C5" w14:textId="77777777" w:rsidR="00D52BA4" w:rsidRDefault="00D52BA4" w:rsidP="00AF3209">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6B7B1C">
                              <w:rPr>
                                <w:rStyle w:val="normaltextrun"/>
                                <w:rFonts w:ascii="Calibri" w:hAnsi="Calibri" w:cs="Calibri"/>
                                <w:color w:val="000000"/>
                                <w:sz w:val="22"/>
                                <w:szCs w:val="22"/>
                              </w:rPr>
                              <w:t>Identification of shared security services and reuse of security strategies and tools; and</w:t>
                            </w:r>
                          </w:p>
                          <w:p w14:paraId="3CED5F4D" w14:textId="6370F0B6" w:rsidR="00D52BA4" w:rsidRPr="006B7B1C" w:rsidRDefault="00D52BA4" w:rsidP="00C47967">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6B7B1C">
                              <w:rPr>
                                <w:rStyle w:val="normaltextrun"/>
                                <w:rFonts w:ascii="Calibri" w:hAnsi="Calibri" w:cs="Calibri"/>
                                <w:color w:val="000000"/>
                                <w:sz w:val="22"/>
                                <w:szCs w:val="22"/>
                              </w:rPr>
                              <w:t xml:space="preserve">Facilitation of informed executive decision making through comprehensive risk management in a timely manner. </w:t>
                            </w:r>
                          </w:p>
                          <w:p w14:paraId="3C78F412" w14:textId="2C729F7E" w:rsidR="00D52BA4" w:rsidRDefault="00D52BA4" w:rsidP="00AF3209">
                            <w:pPr>
                              <w:pStyle w:val="paragraph"/>
                              <w:spacing w:before="240" w:beforeAutospacing="0" w:after="120" w:afterAutospacing="0" w:line="276" w:lineRule="auto"/>
                              <w:textAlignment w:val="baseline"/>
                            </w:pPr>
                            <w:r w:rsidRPr="006B7B1C">
                              <w:rPr>
                                <w:rStyle w:val="normaltextrun"/>
                                <w:rFonts w:ascii="Calibri" w:hAnsi="Calibri" w:cs="Calibri"/>
                                <w:b/>
                                <w:color w:val="000000"/>
                                <w:sz w:val="22"/>
                                <w:szCs w:val="22"/>
                              </w:rPr>
                              <w:t>CP1 Question:</w:t>
                            </w:r>
                            <w:r w:rsidRPr="00AF3209">
                              <w:rPr>
                                <w:rStyle w:val="normaltextrun"/>
                                <w:rFonts w:ascii="Calibri" w:hAnsi="Calibri" w:cs="Calibri"/>
                                <w:color w:val="000000"/>
                                <w:sz w:val="22"/>
                                <w:szCs w:val="22"/>
                              </w:rPr>
                              <w:t xml:space="preserve"> Should the DSB’s Software Development Life Cycle (SDLC) be extended to embed security considerations throughout the SDLC?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0EFD8" id="_x0000_s1069" type="#_x0000_t202" style="position:absolute;left:0;text-align:left;margin-left:-2pt;margin-top:21.6pt;width:450.1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s5KQIAAE4EAAAOAAAAZHJzL2Uyb0RvYy54bWysVNtu2zAMfR+wfxD0vthJnb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">
                <v:textbox style="mso-fit-shape-to-text:t">
                  <w:txbxContent>
                    <w:p w14:paraId="65B6ADB9"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AF3209">
                        <w:rPr>
                          <w:rStyle w:val="normaltextrun"/>
                          <w:rFonts w:ascii="Calibri" w:hAnsi="Calibri" w:cs="Calibri"/>
                          <w:color w:val="000000"/>
                          <w:sz w:val="22"/>
                          <w:szCs w:val="22"/>
                        </w:rPr>
                        <w:t xml:space="preserve">The DSB IT system development and maintenance processes follow a standard Software Development Life Cycle (SDLC), which includes separate phases for design, development, testing and deployment. </w:t>
                      </w:r>
                    </w:p>
                    <w:p w14:paraId="2C33806E"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Security testing of DSB software occurs via regular third-party penetration testing in its User Acceptance Test environment and is not currently embedded within the full SDLC process. </w:t>
                      </w:r>
                    </w:p>
                    <w:p w14:paraId="4ED2B6DB" w14:textId="77777777" w:rsidR="00D52BA4" w:rsidRPr="00AF3209" w:rsidRDefault="00D52BA4" w:rsidP="00AF3209">
                      <w:pPr>
                        <w:pStyle w:val="paragraph"/>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The DSB has been asked whether it will implement current best practice to embed security considerations throughout the entire SDLC by following approaches such as NIST 800-647 in order to provide: </w:t>
                      </w:r>
                    </w:p>
                    <w:p w14:paraId="63F86CD0" w14:textId="4E174907" w:rsidR="00D52BA4" w:rsidRDefault="00D52BA4" w:rsidP="006B7B1C">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 xml:space="preserve">Early identification and mitigation of security vulnerabilities and misconfigurations; </w:t>
                      </w:r>
                    </w:p>
                    <w:p w14:paraId="34DEE799" w14:textId="77777777" w:rsidR="00D52BA4" w:rsidRDefault="00D52BA4" w:rsidP="00AF3209">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AF3209">
                        <w:rPr>
                          <w:rStyle w:val="normaltextrun"/>
                          <w:rFonts w:ascii="Calibri" w:hAnsi="Calibri" w:cs="Calibri"/>
                          <w:color w:val="000000"/>
                          <w:sz w:val="22"/>
                          <w:szCs w:val="22"/>
                        </w:rPr>
                        <w:t>Awareness of potential engineering challenges caused by mandatory security controls;</w:t>
                      </w:r>
                    </w:p>
                    <w:p w14:paraId="66D279C5" w14:textId="77777777" w:rsidR="00D52BA4" w:rsidRDefault="00D52BA4" w:rsidP="00AF3209">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6B7B1C">
                        <w:rPr>
                          <w:rStyle w:val="normaltextrun"/>
                          <w:rFonts w:ascii="Calibri" w:hAnsi="Calibri" w:cs="Calibri"/>
                          <w:color w:val="000000"/>
                          <w:sz w:val="22"/>
                          <w:szCs w:val="22"/>
                        </w:rPr>
                        <w:t>Identification of shared security services and reuse of security strategies and tools; and</w:t>
                      </w:r>
                    </w:p>
                    <w:p w14:paraId="3CED5F4D" w14:textId="6370F0B6" w:rsidR="00D52BA4" w:rsidRPr="006B7B1C" w:rsidRDefault="00D52BA4" w:rsidP="00C47967">
                      <w:pPr>
                        <w:pStyle w:val="paragraph"/>
                        <w:numPr>
                          <w:ilvl w:val="0"/>
                          <w:numId w:val="45"/>
                        </w:numPr>
                        <w:spacing w:before="240" w:after="120" w:line="276" w:lineRule="auto"/>
                        <w:textAlignment w:val="baseline"/>
                        <w:rPr>
                          <w:rStyle w:val="normaltextrun"/>
                          <w:rFonts w:ascii="Calibri" w:hAnsi="Calibri" w:cs="Calibri"/>
                          <w:color w:val="000000"/>
                          <w:sz w:val="22"/>
                          <w:szCs w:val="22"/>
                        </w:rPr>
                      </w:pPr>
                      <w:r w:rsidRPr="006B7B1C">
                        <w:rPr>
                          <w:rStyle w:val="normaltextrun"/>
                          <w:rFonts w:ascii="Calibri" w:hAnsi="Calibri" w:cs="Calibri"/>
                          <w:color w:val="000000"/>
                          <w:sz w:val="22"/>
                          <w:szCs w:val="22"/>
                        </w:rPr>
                        <w:t xml:space="preserve">Facilitation of informed executive decision making through comprehensive risk management in a timely manner. </w:t>
                      </w:r>
                    </w:p>
                    <w:p w14:paraId="3C78F412" w14:textId="2C729F7E" w:rsidR="00D52BA4" w:rsidRDefault="00D52BA4" w:rsidP="00AF3209">
                      <w:pPr>
                        <w:pStyle w:val="paragraph"/>
                        <w:spacing w:before="240" w:beforeAutospacing="0" w:after="120" w:afterAutospacing="0" w:line="276" w:lineRule="auto"/>
                        <w:textAlignment w:val="baseline"/>
                      </w:pPr>
                      <w:r w:rsidRPr="006B7B1C">
                        <w:rPr>
                          <w:rStyle w:val="normaltextrun"/>
                          <w:rFonts w:ascii="Calibri" w:hAnsi="Calibri" w:cs="Calibri"/>
                          <w:b/>
                          <w:color w:val="000000"/>
                          <w:sz w:val="22"/>
                          <w:szCs w:val="22"/>
                        </w:rPr>
                        <w:t>CP1 Question:</w:t>
                      </w:r>
                      <w:r w:rsidRPr="00AF3209">
                        <w:rPr>
                          <w:rStyle w:val="normaltextrun"/>
                          <w:rFonts w:ascii="Calibri" w:hAnsi="Calibri" w:cs="Calibri"/>
                          <w:color w:val="000000"/>
                          <w:sz w:val="22"/>
                          <w:szCs w:val="22"/>
                        </w:rPr>
                        <w:t xml:space="preserve"> Should the DSB’s Software Development Life Cycle (SDLC) be extended to embed security considerations throughout the SDLC?</w:t>
                      </w:r>
                    </w:p>
                  </w:txbxContent>
                </v:textbox>
                <w10:wrap type="square" anchorx="margin"/>
              </v:shape>
            </w:pict>
          </mc:Fallback>
        </mc:AlternateContent>
      </w:r>
      <w:r w:rsidR="00434D81">
        <w:t>Q</w:t>
      </w:r>
      <w:r w:rsidR="00D33229">
        <w:t>5</w:t>
      </w:r>
      <w:r w:rsidR="00434D81">
        <w:t>.</w:t>
      </w:r>
      <w:r w:rsidR="00D33229">
        <w:t>2</w:t>
      </w:r>
      <w:r w:rsidR="00434D81">
        <w:t xml:space="preserve"> – </w:t>
      </w:r>
      <w:r w:rsidR="006B7B1C">
        <w:t>SECURE SDLC</w:t>
      </w:r>
      <w:bookmarkEnd w:id="112"/>
      <w:bookmarkEnd w:id="113"/>
      <w:bookmarkEnd w:id="114"/>
      <w:bookmarkEnd w:id="115"/>
    </w:p>
    <w:p w14:paraId="4EA992F4" w14:textId="48744DBC" w:rsidR="00434D81" w:rsidRDefault="00434D81" w:rsidP="00434D81">
      <w:pPr>
        <w:spacing w:before="100" w:beforeAutospacing="1" w:after="100" w:afterAutospacing="1" w:line="276" w:lineRule="auto"/>
        <w:textAlignment w:val="baseline"/>
        <w:rPr>
          <w:u w:val="single"/>
        </w:rPr>
      </w:pPr>
      <w:r>
        <w:rPr>
          <w:u w:val="single"/>
        </w:rPr>
        <w:t>Industry Responses</w:t>
      </w:r>
    </w:p>
    <w:p w14:paraId="7DB64B99" w14:textId="314453CB" w:rsidR="006B7B1C" w:rsidRPr="00BB1C2A" w:rsidRDefault="006B7B1C" w:rsidP="006B7B1C">
      <w:pPr>
        <w:spacing w:before="240" w:after="120" w:line="276" w:lineRule="auto"/>
      </w:pPr>
      <w:r>
        <w:t>The responses received to the question posed in the first consultation are set out below</w:t>
      </w:r>
      <w:r w:rsidR="00E11CE8">
        <w:t>:</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6B7B1C" w:rsidRPr="00EA2E77" w14:paraId="731ECA93" w14:textId="77777777" w:rsidTr="006B7B1C">
        <w:trPr>
          <w:trHeight w:val="288"/>
        </w:trPr>
        <w:tc>
          <w:tcPr>
            <w:tcW w:w="2127" w:type="dxa"/>
            <w:vMerge w:val="restart"/>
            <w:shd w:val="clear" w:color="auto" w:fill="auto"/>
            <w:noWrap/>
            <w:vAlign w:val="center"/>
            <w:hideMark/>
          </w:tcPr>
          <w:p w14:paraId="557F1C60" w14:textId="77777777" w:rsidR="006B7B1C" w:rsidRPr="00EA2E77" w:rsidRDefault="006B7B1C" w:rsidP="00C47967">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08706904" w14:textId="77777777" w:rsidR="006B7B1C" w:rsidRPr="00EA2E77" w:rsidRDefault="006B7B1C" w:rsidP="00C47967">
            <w:pPr>
              <w:spacing w:after="0" w:line="240" w:lineRule="auto"/>
              <w:jc w:val="center"/>
              <w:rPr>
                <w:rFonts w:ascii="Calibri" w:eastAsia="Times New Roman" w:hAnsi="Calibri" w:cs="Calibri"/>
                <w:b/>
                <w:bCs/>
                <w:color w:val="000000"/>
                <w:sz w:val="21"/>
                <w:szCs w:val="21"/>
                <w:lang w:eastAsia="en-GB"/>
              </w:rPr>
            </w:pPr>
            <w:r w:rsidRPr="00EA2E77">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5B7985A2" w14:textId="77777777" w:rsidR="006B7B1C" w:rsidRPr="00EA2E77" w:rsidRDefault="006B7B1C" w:rsidP="00C47967">
            <w:pPr>
              <w:spacing w:after="0" w:line="240" w:lineRule="auto"/>
              <w:jc w:val="center"/>
              <w:rPr>
                <w:rFonts w:ascii="Calibri" w:eastAsia="Times New Roman" w:hAnsi="Calibri" w:cs="Calibri"/>
                <w:b/>
                <w:bCs/>
                <w:color w:val="000000"/>
                <w:sz w:val="21"/>
                <w:szCs w:val="21"/>
                <w:lang w:eastAsia="en-GB"/>
              </w:rPr>
            </w:pPr>
            <w:r w:rsidRPr="00EA2E77">
              <w:rPr>
                <w:rFonts w:ascii="Calibri" w:eastAsia="Times New Roman" w:hAnsi="Calibri" w:cs="Calibri"/>
                <w:b/>
                <w:bCs/>
                <w:color w:val="000000"/>
                <w:sz w:val="21"/>
                <w:szCs w:val="21"/>
                <w:lang w:eastAsia="en-GB"/>
              </w:rPr>
              <w:t>No</w:t>
            </w:r>
          </w:p>
        </w:tc>
      </w:tr>
      <w:tr w:rsidR="006B7B1C" w:rsidRPr="00EA2E77" w14:paraId="1F6DBFC1" w14:textId="77777777" w:rsidTr="006B7B1C">
        <w:trPr>
          <w:trHeight w:val="288"/>
        </w:trPr>
        <w:tc>
          <w:tcPr>
            <w:tcW w:w="2127" w:type="dxa"/>
            <w:vMerge/>
            <w:vAlign w:val="center"/>
            <w:hideMark/>
          </w:tcPr>
          <w:p w14:paraId="7F4E560B" w14:textId="77777777" w:rsidR="006B7B1C" w:rsidRPr="00EA2E77" w:rsidRDefault="006B7B1C" w:rsidP="00C47967">
            <w:pPr>
              <w:spacing w:after="0" w:line="240" w:lineRule="auto"/>
              <w:rPr>
                <w:rFonts w:ascii="Times New Roman" w:eastAsia="Times New Roman" w:hAnsi="Times New Roman" w:cs="Times New Roman"/>
                <w:sz w:val="24"/>
                <w:szCs w:val="24"/>
                <w:lang w:eastAsia="en-GB"/>
              </w:rPr>
            </w:pPr>
          </w:p>
        </w:tc>
        <w:tc>
          <w:tcPr>
            <w:tcW w:w="289" w:type="dxa"/>
            <w:shd w:val="clear" w:color="000000" w:fill="63BE7B"/>
            <w:noWrap/>
            <w:vAlign w:val="center"/>
            <w:hideMark/>
          </w:tcPr>
          <w:p w14:paraId="7B47F2E2" w14:textId="77777777" w:rsidR="006B7B1C" w:rsidRPr="00EA2E77" w:rsidRDefault="006B7B1C" w:rsidP="00C47967">
            <w:pPr>
              <w:spacing w:after="0" w:line="240" w:lineRule="auto"/>
              <w:jc w:val="center"/>
              <w:rPr>
                <w:rFonts w:ascii="Calibri" w:eastAsia="Times New Roman" w:hAnsi="Calibri" w:cs="Calibri"/>
                <w:b/>
                <w:bCs/>
                <w:color w:val="000000"/>
                <w:sz w:val="21"/>
                <w:szCs w:val="21"/>
                <w:lang w:eastAsia="en-GB"/>
              </w:rPr>
            </w:pPr>
            <w:r w:rsidRPr="00EA2E77">
              <w:rPr>
                <w:rFonts w:ascii="Calibri" w:eastAsia="Times New Roman" w:hAnsi="Calibri" w:cs="Calibri"/>
                <w:b/>
                <w:bCs/>
                <w:color w:val="000000"/>
                <w:sz w:val="21"/>
                <w:szCs w:val="21"/>
                <w:lang w:eastAsia="en-GB"/>
              </w:rPr>
              <w:t>10</w:t>
            </w:r>
          </w:p>
        </w:tc>
        <w:tc>
          <w:tcPr>
            <w:tcW w:w="656" w:type="dxa"/>
            <w:shd w:val="clear" w:color="000000" w:fill="F8696B"/>
            <w:noWrap/>
            <w:vAlign w:val="center"/>
            <w:hideMark/>
          </w:tcPr>
          <w:p w14:paraId="123DB0EE" w14:textId="77777777" w:rsidR="006B7B1C" w:rsidRPr="00EA2E77" w:rsidRDefault="006B7B1C" w:rsidP="00C47967">
            <w:pPr>
              <w:spacing w:after="0" w:line="240" w:lineRule="auto"/>
              <w:jc w:val="center"/>
              <w:rPr>
                <w:rFonts w:ascii="Calibri" w:eastAsia="Times New Roman" w:hAnsi="Calibri" w:cs="Calibri"/>
                <w:b/>
                <w:bCs/>
                <w:color w:val="000000"/>
                <w:sz w:val="21"/>
                <w:szCs w:val="21"/>
                <w:lang w:eastAsia="en-GB"/>
              </w:rPr>
            </w:pPr>
            <w:r w:rsidRPr="00EA2E77">
              <w:rPr>
                <w:rFonts w:ascii="Calibri" w:eastAsia="Times New Roman" w:hAnsi="Calibri" w:cs="Calibri"/>
                <w:b/>
                <w:bCs/>
                <w:color w:val="000000"/>
                <w:sz w:val="21"/>
                <w:szCs w:val="21"/>
                <w:lang w:eastAsia="en-GB"/>
              </w:rPr>
              <w:t>0</w:t>
            </w:r>
          </w:p>
        </w:tc>
      </w:tr>
      <w:tr w:rsidR="006B7B1C" w:rsidRPr="00EA2E77" w14:paraId="5D8D243B" w14:textId="77777777" w:rsidTr="006B7B1C">
        <w:trPr>
          <w:trHeight w:val="288"/>
        </w:trPr>
        <w:tc>
          <w:tcPr>
            <w:tcW w:w="2127" w:type="dxa"/>
            <w:shd w:val="clear" w:color="auto" w:fill="auto"/>
            <w:noWrap/>
            <w:vAlign w:val="center"/>
            <w:hideMark/>
          </w:tcPr>
          <w:p w14:paraId="50620D74" w14:textId="77777777" w:rsidR="006B7B1C" w:rsidRPr="00EA2E77" w:rsidRDefault="006B7B1C" w:rsidP="00C47967">
            <w:pPr>
              <w:spacing w:after="0" w:line="240" w:lineRule="auto"/>
              <w:jc w:val="right"/>
              <w:rPr>
                <w:rFonts w:ascii="Calibri" w:eastAsia="Times New Roman" w:hAnsi="Calibri" w:cs="Calibri"/>
                <w:color w:val="000000"/>
                <w:sz w:val="21"/>
                <w:szCs w:val="21"/>
                <w:lang w:eastAsia="en-GB"/>
              </w:rPr>
            </w:pPr>
            <w:r w:rsidRPr="00EA2E77">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5CAAF9C6" w14:textId="77777777" w:rsidR="006B7B1C" w:rsidRPr="00EA2E77" w:rsidRDefault="006B7B1C" w:rsidP="00C47967">
            <w:pPr>
              <w:spacing w:after="0" w:line="240" w:lineRule="auto"/>
              <w:jc w:val="center"/>
              <w:rPr>
                <w:rFonts w:ascii="Calibri" w:eastAsia="Times New Roman" w:hAnsi="Calibri" w:cs="Calibri"/>
                <w:color w:val="000000"/>
                <w:sz w:val="21"/>
                <w:szCs w:val="21"/>
                <w:lang w:eastAsia="en-GB"/>
              </w:rPr>
            </w:pPr>
            <w:r w:rsidRPr="00EA2E77">
              <w:rPr>
                <w:rFonts w:ascii="Calibri" w:eastAsia="Times New Roman" w:hAnsi="Calibri" w:cs="Calibri"/>
                <w:color w:val="000000"/>
                <w:sz w:val="21"/>
                <w:szCs w:val="21"/>
                <w:lang w:eastAsia="en-GB"/>
              </w:rPr>
              <w:t>1</w:t>
            </w:r>
          </w:p>
        </w:tc>
        <w:tc>
          <w:tcPr>
            <w:tcW w:w="656" w:type="dxa"/>
            <w:shd w:val="clear" w:color="auto" w:fill="auto"/>
            <w:noWrap/>
            <w:vAlign w:val="center"/>
            <w:hideMark/>
          </w:tcPr>
          <w:p w14:paraId="263D0A95" w14:textId="77777777" w:rsidR="006B7B1C" w:rsidRPr="00EA2E77" w:rsidRDefault="006B7B1C" w:rsidP="00C47967">
            <w:pPr>
              <w:spacing w:after="0" w:line="240" w:lineRule="auto"/>
              <w:jc w:val="center"/>
              <w:rPr>
                <w:rFonts w:ascii="Calibri" w:eastAsia="Times New Roman" w:hAnsi="Calibri" w:cs="Calibri"/>
                <w:color w:val="DEEAF6" w:themeColor="accent1" w:themeTint="33"/>
                <w:sz w:val="21"/>
                <w:szCs w:val="21"/>
                <w:lang w:eastAsia="en-GB"/>
              </w:rPr>
            </w:pPr>
            <w:r w:rsidRPr="00EA2E77">
              <w:rPr>
                <w:rFonts w:ascii="Calibri" w:eastAsia="Times New Roman" w:hAnsi="Calibri" w:cs="Calibri"/>
                <w:color w:val="DEEAF6" w:themeColor="accent1" w:themeTint="33"/>
                <w:sz w:val="21"/>
                <w:szCs w:val="21"/>
                <w:lang w:eastAsia="en-GB"/>
              </w:rPr>
              <w:t>0</w:t>
            </w:r>
          </w:p>
        </w:tc>
      </w:tr>
      <w:tr w:rsidR="006B7B1C" w:rsidRPr="00EA2E77" w14:paraId="542A472E" w14:textId="77777777" w:rsidTr="006B7B1C">
        <w:trPr>
          <w:trHeight w:val="288"/>
        </w:trPr>
        <w:tc>
          <w:tcPr>
            <w:tcW w:w="2127" w:type="dxa"/>
            <w:shd w:val="clear" w:color="auto" w:fill="auto"/>
            <w:noWrap/>
            <w:vAlign w:val="center"/>
            <w:hideMark/>
          </w:tcPr>
          <w:p w14:paraId="0AB3CF64" w14:textId="77777777" w:rsidR="006B7B1C" w:rsidRPr="00EA2E77" w:rsidRDefault="006B7B1C" w:rsidP="00C47967">
            <w:pPr>
              <w:spacing w:after="0" w:line="240" w:lineRule="auto"/>
              <w:jc w:val="right"/>
              <w:rPr>
                <w:rFonts w:ascii="Calibri" w:eastAsia="Times New Roman" w:hAnsi="Calibri" w:cs="Calibri"/>
                <w:color w:val="000000"/>
                <w:sz w:val="21"/>
                <w:szCs w:val="21"/>
                <w:lang w:eastAsia="en-GB"/>
              </w:rPr>
            </w:pPr>
            <w:r w:rsidRPr="00EA2E77">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2F27EEA5" w14:textId="77777777" w:rsidR="006B7B1C" w:rsidRPr="00EA2E77" w:rsidRDefault="006B7B1C" w:rsidP="00C47967">
            <w:pPr>
              <w:spacing w:after="0" w:line="240" w:lineRule="auto"/>
              <w:jc w:val="center"/>
              <w:rPr>
                <w:rFonts w:ascii="Calibri" w:eastAsia="Times New Roman" w:hAnsi="Calibri" w:cs="Calibri"/>
                <w:color w:val="000000"/>
                <w:sz w:val="21"/>
                <w:szCs w:val="21"/>
                <w:lang w:eastAsia="en-GB"/>
              </w:rPr>
            </w:pPr>
            <w:r w:rsidRPr="00EA2E77">
              <w:rPr>
                <w:rFonts w:ascii="Calibri" w:eastAsia="Times New Roman" w:hAnsi="Calibri" w:cs="Calibri"/>
                <w:color w:val="000000"/>
                <w:sz w:val="21"/>
                <w:szCs w:val="21"/>
                <w:lang w:eastAsia="en-GB"/>
              </w:rPr>
              <w:t>9</w:t>
            </w:r>
          </w:p>
        </w:tc>
        <w:tc>
          <w:tcPr>
            <w:tcW w:w="656" w:type="dxa"/>
            <w:shd w:val="clear" w:color="auto" w:fill="auto"/>
            <w:noWrap/>
            <w:vAlign w:val="center"/>
            <w:hideMark/>
          </w:tcPr>
          <w:p w14:paraId="29FAF613" w14:textId="77777777" w:rsidR="006B7B1C" w:rsidRPr="00EA2E77" w:rsidRDefault="006B7B1C" w:rsidP="00C47967">
            <w:pPr>
              <w:spacing w:after="0" w:line="240" w:lineRule="auto"/>
              <w:jc w:val="center"/>
              <w:rPr>
                <w:rFonts w:ascii="Calibri" w:eastAsia="Times New Roman" w:hAnsi="Calibri" w:cs="Calibri"/>
                <w:color w:val="DEEAF6" w:themeColor="accent1" w:themeTint="33"/>
                <w:sz w:val="21"/>
                <w:szCs w:val="21"/>
                <w:lang w:eastAsia="en-GB"/>
              </w:rPr>
            </w:pPr>
            <w:r w:rsidRPr="00EA2E77">
              <w:rPr>
                <w:rFonts w:ascii="Calibri" w:eastAsia="Times New Roman" w:hAnsi="Calibri" w:cs="Calibri"/>
                <w:color w:val="DEEAF6" w:themeColor="accent1" w:themeTint="33"/>
                <w:sz w:val="21"/>
                <w:szCs w:val="21"/>
                <w:lang w:eastAsia="en-GB"/>
              </w:rPr>
              <w:t>0</w:t>
            </w:r>
          </w:p>
        </w:tc>
      </w:tr>
    </w:tbl>
    <w:p w14:paraId="74F980EE" w14:textId="16645F4F" w:rsidR="006B7B1C" w:rsidRDefault="006B7B1C" w:rsidP="006B7B1C">
      <w:pPr>
        <w:spacing w:before="240" w:after="120" w:line="276" w:lineRule="auto"/>
      </w:pPr>
      <w:r>
        <w:t>All responses that expressed an opinion were supportive of a move to a secure SDLC model, given the risk of cyberattacks disrupting users’ production environments. Other feedback included making sure such a change did not impact the DSB’s business-as-usual delivery and to focus on cost-effectiveness of implementation.</w:t>
      </w:r>
    </w:p>
    <w:p w14:paraId="358D3691" w14:textId="77777777" w:rsidR="006B7B1C" w:rsidRDefault="006B7B1C" w:rsidP="00944AAF">
      <w:pPr>
        <w:spacing w:before="240"/>
        <w:rPr>
          <w:u w:val="single"/>
        </w:rPr>
      </w:pPr>
      <w:r>
        <w:rPr>
          <w:u w:val="single"/>
        </w:rPr>
        <w:t>Analysis of Responses</w:t>
      </w:r>
    </w:p>
    <w:p w14:paraId="22D426C5" w14:textId="31478E51" w:rsidR="006B7B1C" w:rsidRDefault="006B7B1C" w:rsidP="006B7B1C">
      <w:pPr>
        <w:spacing w:before="240" w:after="120" w:line="276" w:lineRule="auto"/>
      </w:pPr>
      <w:r>
        <w:t>The consultation responses were reviewed at the 18 June TAC meeting and there was general consensus for the DSB to explore the option of embedding security into every step of the software development lifecycle.</w:t>
      </w:r>
    </w:p>
    <w:p w14:paraId="212B94EA" w14:textId="0FBF86C4" w:rsidR="00163EB4" w:rsidRDefault="00163EB4" w:rsidP="006B7B1C">
      <w:pPr>
        <w:spacing w:before="240" w:after="120" w:line="276" w:lineRule="auto"/>
      </w:pPr>
    </w:p>
    <w:p w14:paraId="41A1B97C" w14:textId="77777777" w:rsidR="00163EB4" w:rsidRDefault="00163EB4" w:rsidP="006B7B1C">
      <w:pPr>
        <w:spacing w:before="240" w:after="120" w:line="276" w:lineRule="auto"/>
        <w:rPr>
          <w:b/>
          <w:bCs/>
          <w:u w:val="single"/>
        </w:rPr>
      </w:pPr>
    </w:p>
    <w:p w14:paraId="3FE0143B" w14:textId="5C06F969" w:rsidR="006B7B1C" w:rsidRDefault="006B7B1C" w:rsidP="006B7B1C">
      <w:pPr>
        <w:spacing w:before="240" w:after="120" w:line="276" w:lineRule="auto"/>
        <w:rPr>
          <w:b/>
          <w:bCs/>
          <w:u w:val="single"/>
        </w:rPr>
      </w:pPr>
      <w:r>
        <w:rPr>
          <w:u w:val="single"/>
        </w:rPr>
        <w:lastRenderedPageBreak/>
        <w:t>DSB Proposed Next Steps</w:t>
      </w:r>
    </w:p>
    <w:p w14:paraId="2A8B0045" w14:textId="254F737B" w:rsidR="006B7B1C" w:rsidRDefault="006B7B1C" w:rsidP="006B7B1C">
      <w:pPr>
        <w:rPr>
          <w:rFonts w:ascii="Times New Roman" w:hAnsi="Times New Roman" w:cs="Times New Roman"/>
          <w:sz w:val="24"/>
          <w:szCs w:val="24"/>
          <w:lang w:eastAsia="en-GB"/>
        </w:rPr>
      </w:pPr>
      <w:r>
        <w:t>The DSB proposes to perform the analysis on the adoption of ISO 27034</w:t>
      </w:r>
      <w:r>
        <w:rPr>
          <w:rStyle w:val="FootnoteReference"/>
        </w:rPr>
        <w:footnoteReference w:id="19"/>
      </w:r>
      <w:r>
        <w:t xml:space="preserve"> as its secure SDLC methodology, while also considering any additional items required by NIST that may be relevant to the DSB</w:t>
      </w:r>
      <w:r w:rsidR="00E11CE8">
        <w:t>.</w:t>
      </w:r>
      <w:r>
        <w:rPr>
          <w:rFonts w:ascii="Times New Roman" w:hAnsi="Times New Roman" w:cs="Times New Roman"/>
          <w:sz w:val="24"/>
          <w:szCs w:val="24"/>
          <w:lang w:eastAsia="en-GB"/>
        </w:rPr>
        <w:t xml:space="preserve"> </w:t>
      </w:r>
    </w:p>
    <w:p w14:paraId="31961A81" w14:textId="64A57064" w:rsidR="006B7B1C" w:rsidRDefault="006B7B1C" w:rsidP="006B7B1C">
      <w:pPr>
        <w:spacing w:before="240" w:after="120" w:line="276" w:lineRule="auto"/>
      </w:pPr>
      <w:r>
        <w:t xml:space="preserve">On the assumption that industry approves the on-boarding of the new CISO function (see Q5.5), the DSB proposes to move forward with the analysis phase in 2020, led by the CISO and in conjunction with the TAC. </w:t>
      </w:r>
    </w:p>
    <w:p w14:paraId="66838C9F" w14:textId="5B9827A9" w:rsidR="006B7B1C" w:rsidRDefault="006B7B1C" w:rsidP="006B7B1C">
      <w:pPr>
        <w:spacing w:before="240" w:after="120" w:line="276" w:lineRule="auto"/>
      </w:pPr>
      <w:r>
        <w:t xml:space="preserve">The deliverable of the analysis to include scope and details of the implementation, alongside </w:t>
      </w:r>
      <w:r w:rsidR="00A71F1D">
        <w:t xml:space="preserve">implementation </w:t>
      </w:r>
      <w:r>
        <w:t xml:space="preserve">costs and an explanation of the steps to be taken to ensure implementation will be delivered cost-effectively. </w:t>
      </w:r>
    </w:p>
    <w:p w14:paraId="5FB68DB8" w14:textId="77777777" w:rsidR="006B7B1C" w:rsidRDefault="006B7B1C" w:rsidP="006B7B1C">
      <w:pPr>
        <w:spacing w:before="240" w:after="120" w:line="276" w:lineRule="auto"/>
      </w:pPr>
      <w:r>
        <w:t>The analysis will be provided to the TAC to review, and assuming TAC agreement, the implementation will be the subject of a subsequent consultation in 2020 for possible implementation in 2021.</w:t>
      </w:r>
    </w:p>
    <w:p w14:paraId="7967C380" w14:textId="77777777" w:rsidR="006B7B1C" w:rsidRPr="00A71F1D" w:rsidRDefault="006B7B1C" w:rsidP="00A71F1D">
      <w:pPr>
        <w:spacing w:before="240" w:after="120" w:line="276" w:lineRule="auto"/>
      </w:pPr>
      <w:r w:rsidRPr="00A71F1D">
        <w:t xml:space="preserve">Governance: TAC to be involved in the analysis and implementation </w:t>
      </w:r>
    </w:p>
    <w:p w14:paraId="1CC408C7" w14:textId="77777777" w:rsidR="006B7B1C" w:rsidRPr="00A71F1D" w:rsidRDefault="006B7B1C" w:rsidP="006B7B1C">
      <w:pPr>
        <w:spacing w:before="240" w:after="120" w:line="276" w:lineRule="auto"/>
      </w:pPr>
      <w:r w:rsidRPr="00A71F1D">
        <w:t>Costs:</w:t>
      </w:r>
    </w:p>
    <w:p w14:paraId="279176C3" w14:textId="77777777" w:rsidR="006B7B1C" w:rsidRPr="00A71F1D" w:rsidRDefault="006B7B1C" w:rsidP="006B7B1C">
      <w:pPr>
        <w:pStyle w:val="paragraph"/>
        <w:numPr>
          <w:ilvl w:val="1"/>
          <w:numId w:val="32"/>
        </w:numPr>
        <w:spacing w:before="0" w:beforeAutospacing="0" w:line="276" w:lineRule="auto"/>
        <w:textAlignment w:val="baseline"/>
        <w:rPr>
          <w:rFonts w:ascii="Calibri" w:hAnsi="Calibri" w:cs="Calibri"/>
          <w:sz w:val="22"/>
          <w:szCs w:val="22"/>
        </w:rPr>
      </w:pPr>
      <w:proofErr w:type="spellStart"/>
      <w:r w:rsidRPr="00A71F1D">
        <w:rPr>
          <w:rFonts w:ascii="Calibri" w:hAnsi="Calibri" w:cs="Calibri"/>
          <w:sz w:val="22"/>
          <w:szCs w:val="22"/>
        </w:rPr>
        <w:t>Opex</w:t>
      </w:r>
      <w:proofErr w:type="spellEnd"/>
      <w:r w:rsidRPr="00A71F1D">
        <w:rPr>
          <w:rFonts w:ascii="Calibri" w:hAnsi="Calibri" w:cs="Calibri"/>
          <w:sz w:val="22"/>
          <w:szCs w:val="22"/>
        </w:rPr>
        <w:t xml:space="preserve">: €90k analysis </w:t>
      </w:r>
    </w:p>
    <w:p w14:paraId="1285E0B9" w14:textId="565124F4" w:rsidR="006B7B1C" w:rsidRPr="00DA7FD4" w:rsidRDefault="001663C8" w:rsidP="00815088">
      <w:pPr>
        <w:spacing w:line="256" w:lineRule="auto"/>
        <w:rPr>
          <w:rFonts w:ascii="Calibri" w:eastAsia="Times New Roman" w:hAnsi="Calibri" w:cs="Calibri"/>
          <w:lang w:eastAsia="en-GB"/>
        </w:rPr>
      </w:pPr>
      <w:r w:rsidRPr="00BB1525">
        <w:rPr>
          <w:rFonts w:eastAsia="Times New Roman"/>
          <w:color w:val="000000"/>
          <w:lang w:eastAsia="en-GB"/>
        </w:rPr>
        <w:t>Impact on DSB total costs</w:t>
      </w:r>
      <w:r w:rsidR="006B7B1C" w:rsidRPr="00DA7FD4">
        <w:rPr>
          <w:rFonts w:ascii="Calibri" w:eastAsia="Times New Roman" w:hAnsi="Calibri" w:cs="Calibri"/>
          <w:lang w:eastAsia="en-GB"/>
        </w:rPr>
        <w:t>: €90K in 2020</w:t>
      </w:r>
      <w:r w:rsidR="00A71F1D" w:rsidRPr="00DA7FD4">
        <w:rPr>
          <w:rFonts w:ascii="Calibri" w:eastAsia="Times New Roman" w:hAnsi="Calibri" w:cs="Calibri"/>
          <w:lang w:eastAsia="en-GB"/>
        </w:rPr>
        <w:t xml:space="preserve"> (&lt;1% increase in total costs)</w:t>
      </w:r>
      <w:r w:rsidR="006B7B1C" w:rsidRPr="00DA7FD4">
        <w:rPr>
          <w:rFonts w:ascii="Calibri" w:eastAsia="Times New Roman" w:hAnsi="Calibri" w:cs="Calibri"/>
          <w:lang w:eastAsia="en-GB"/>
        </w:rPr>
        <w:t>; None from 2021 onwards</w:t>
      </w:r>
    </w:p>
    <w:p w14:paraId="350AD06E" w14:textId="5A038C55" w:rsidR="006B7B1C" w:rsidRPr="00A71F1D" w:rsidRDefault="006B7B1C" w:rsidP="00A71F1D">
      <w:pPr>
        <w:pStyle w:val="paragraph"/>
        <w:spacing w:line="276" w:lineRule="auto"/>
        <w:textAlignment w:val="baseline"/>
        <w:rPr>
          <w:rFonts w:ascii="Calibri" w:hAnsi="Calibri" w:cs="Calibri"/>
          <w:sz w:val="22"/>
          <w:szCs w:val="22"/>
        </w:rPr>
      </w:pPr>
      <w:r w:rsidRPr="00A71F1D">
        <w:rPr>
          <w:rFonts w:ascii="Calibri" w:hAnsi="Calibri" w:cs="Calibri"/>
          <w:sz w:val="22"/>
          <w:szCs w:val="22"/>
        </w:rPr>
        <w:t>DSB will not progress where run or build costs exceed the amounts set out in this document </w:t>
      </w:r>
    </w:p>
    <w:p w14:paraId="0C3DA787" w14:textId="552B878C" w:rsidR="00D33229" w:rsidRDefault="00163EB4" w:rsidP="00D33229">
      <w:pPr>
        <w:pStyle w:val="NoSpacing"/>
      </w:pPr>
      <w:r w:rsidRPr="00BB1525">
        <w:rPr>
          <w:noProof/>
          <w:lang w:val="en-GB" w:eastAsia="en-GB"/>
        </w:rPr>
        <mc:AlternateContent>
          <mc:Choice Requires="wps">
            <w:drawing>
              <wp:anchor distT="45720" distB="45720" distL="114300" distR="114300" simplePos="0" relativeHeight="251777024" behindDoc="1" locked="0" layoutInCell="1" allowOverlap="1" wp14:anchorId="63897EE8" wp14:editId="2C70B72C">
                <wp:simplePos x="0" y="0"/>
                <wp:positionH relativeFrom="margin">
                  <wp:posOffset>-91440</wp:posOffset>
                </wp:positionH>
                <wp:positionV relativeFrom="paragraph">
                  <wp:posOffset>311785</wp:posOffset>
                </wp:positionV>
                <wp:extent cx="5716905" cy="1404620"/>
                <wp:effectExtent l="0" t="0" r="17145" b="27305"/>
                <wp:wrapTight wrapText="bothSides">
                  <wp:wrapPolygon edited="0">
                    <wp:start x="0" y="0"/>
                    <wp:lineTo x="0" y="21940"/>
                    <wp:lineTo x="21593" y="21940"/>
                    <wp:lineTo x="21593" y="0"/>
                    <wp:lineTo x="0" y="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6C3C7528" w14:textId="4D336832" w:rsidR="00D52BA4" w:rsidRDefault="00D52BA4" w:rsidP="00434D8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22</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7B5E90">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move forward with analysis of Secure SDLC</w:t>
                            </w:r>
                            <w:r w:rsidRPr="007B5E90">
                              <w:rPr>
                                <w:rStyle w:val="eop"/>
                                <w:rFonts w:ascii="Calibri" w:eastAsiaTheme="majorEastAsia" w:hAnsi="Calibri" w:cs="Calibri"/>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897EE8" id="Text Box 39" o:spid="_x0000_s1070" type="#_x0000_t202" style="position:absolute;margin-left:-7.2pt;margin-top:24.55pt;width:450.15pt;height:110.6pt;z-index:-251539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">
                <v:textbox style="mso-fit-shape-to-text:t">
                  <w:txbxContent>
                    <w:p w14:paraId="6C3C7528" w14:textId="4D336832" w:rsidR="00D52BA4" w:rsidRDefault="00D52BA4" w:rsidP="00434D8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22</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7B5E90">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move forward with analysis of Secure SDLC</w:t>
                      </w:r>
                      <w:r w:rsidRPr="007B5E90">
                        <w:rPr>
                          <w:rStyle w:val="eop"/>
                          <w:rFonts w:ascii="Calibri" w:eastAsiaTheme="majorEastAsia" w:hAnsi="Calibri" w:cs="Calibri"/>
                          <w:sz w:val="22"/>
                          <w:szCs w:val="22"/>
                        </w:rPr>
                        <w:t xml:space="preserve">? </w:t>
                      </w:r>
                    </w:p>
                  </w:txbxContent>
                </v:textbox>
                <w10:wrap type="tight" anchorx="margin"/>
              </v:shape>
            </w:pict>
          </mc:Fallback>
        </mc:AlternateContent>
      </w:r>
    </w:p>
    <w:p w14:paraId="6BC0B17F" w14:textId="77777777" w:rsidR="009451B1" w:rsidRDefault="009451B1" w:rsidP="009451B1">
      <w:pPr>
        <w:pStyle w:val="NoSpacing"/>
      </w:pPr>
    </w:p>
    <w:bookmarkStart w:id="116" w:name="_Ref13077773"/>
    <w:bookmarkStart w:id="117" w:name="_Toc13087156"/>
    <w:bookmarkStart w:id="118" w:name="_Toc13157242"/>
    <w:p w14:paraId="5A6635A5" w14:textId="0C4DAA1D" w:rsidR="009451B1" w:rsidRDefault="00163EB4" w:rsidP="009451B1">
      <w:pPr>
        <w:pStyle w:val="Heading3"/>
      </w:pPr>
      <w:r>
        <w:rPr>
          <w:noProof/>
          <w:lang w:eastAsia="en-GB"/>
        </w:rPr>
        <w:lastRenderedPageBreak/>
        <mc:AlternateContent>
          <mc:Choice Requires="wps">
            <w:drawing>
              <wp:anchor distT="45720" distB="45720" distL="114300" distR="114300" simplePos="0" relativeHeight="251856896" behindDoc="0" locked="0" layoutInCell="1" allowOverlap="1" wp14:anchorId="24D21EA4" wp14:editId="7B2FEFBE">
                <wp:simplePos x="0" y="0"/>
                <wp:positionH relativeFrom="margin">
                  <wp:posOffset>-50800</wp:posOffset>
                </wp:positionH>
                <wp:positionV relativeFrom="paragraph">
                  <wp:posOffset>388620</wp:posOffset>
                </wp:positionV>
                <wp:extent cx="5716905" cy="1404620"/>
                <wp:effectExtent l="0" t="0" r="17145" b="2476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27EE35D" w14:textId="77777777" w:rsidR="00D52BA4" w:rsidRPr="009451B1" w:rsidRDefault="00D52BA4" w:rsidP="009451B1">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9451B1">
                              <w:rPr>
                                <w:rStyle w:val="normaltextrun"/>
                                <w:rFonts w:ascii="Calibri" w:hAnsi="Calibri" w:cs="Calibri"/>
                                <w:color w:val="000000"/>
                                <w:sz w:val="22"/>
                                <w:szCs w:val="22"/>
                              </w:rPr>
                              <w:t xml:space="preserve">The DSB currently follows its own proprietary framework for addressing the risk of information security incidents. Conformance to the framework is reviewed annually by the DSB management team and this is validated by an annual third-party assurance programme. </w:t>
                            </w:r>
                          </w:p>
                          <w:p w14:paraId="08E54B31" w14:textId="48313090" w:rsidR="00D52BA4" w:rsidRPr="009451B1" w:rsidRDefault="00D52BA4" w:rsidP="009451B1">
                            <w:pPr>
                              <w:pStyle w:val="paragraph"/>
                              <w:spacing w:before="240" w:after="120" w:line="276" w:lineRule="auto"/>
                              <w:textAlignment w:val="baseline"/>
                              <w:rPr>
                                <w:rStyle w:val="normaltextrun"/>
                                <w:rFonts w:ascii="Calibri" w:hAnsi="Calibri" w:cs="Calibri"/>
                                <w:color w:val="000000"/>
                                <w:sz w:val="22"/>
                                <w:szCs w:val="22"/>
                              </w:rPr>
                            </w:pPr>
                            <w:r w:rsidRPr="009451B1">
                              <w:rPr>
                                <w:rStyle w:val="normaltextrun"/>
                                <w:rFonts w:ascii="Calibri" w:hAnsi="Calibri" w:cs="Calibri"/>
                                <w:color w:val="000000"/>
                                <w:sz w:val="22"/>
                                <w:szCs w:val="22"/>
                              </w:rPr>
                              <w:t xml:space="preserve">The DSB has been asked whether it will implement an industry standard framework for addressing the risk of information security incidents, such as ISO/IEC 27001 (Information security management systems – Requirements) and ISO/IEC 27002 (Information technology — Security techniques — Code of practice for information security controls). The purpose of ISO certification would be to allow the DSB to be formally audited and certified compliant to a widely accepted international standard that guarantees management systematically examines the organization’s information security risks, taking account of the threats, vulnerabilities, and impacts. </w:t>
                            </w:r>
                          </w:p>
                          <w:p w14:paraId="68D125A8" w14:textId="622122F0" w:rsidR="00D52BA4" w:rsidRDefault="00D52BA4" w:rsidP="009451B1">
                            <w:pPr>
                              <w:pStyle w:val="paragraph"/>
                              <w:spacing w:before="240" w:beforeAutospacing="0" w:after="120" w:afterAutospacing="0" w:line="276" w:lineRule="auto"/>
                              <w:textAlignment w:val="baseline"/>
                            </w:pPr>
                            <w:r w:rsidRPr="009451B1">
                              <w:rPr>
                                <w:rStyle w:val="normaltextrun"/>
                                <w:rFonts w:ascii="Calibri" w:hAnsi="Calibri" w:cs="Calibri"/>
                                <w:b/>
                                <w:color w:val="000000"/>
                                <w:sz w:val="22"/>
                                <w:szCs w:val="22"/>
                              </w:rPr>
                              <w:t>CP1 Question:</w:t>
                            </w:r>
                            <w:r w:rsidRPr="009451B1">
                              <w:rPr>
                                <w:rStyle w:val="normaltextrun"/>
                                <w:rFonts w:ascii="Calibri" w:hAnsi="Calibri" w:cs="Calibri"/>
                                <w:color w:val="000000"/>
                                <w:sz w:val="22"/>
                                <w:szCs w:val="22"/>
                              </w:rPr>
                              <w:t xml:space="preserve"> Should the DSB explore adopting the ISO 2700X standard as its framework for addressing information security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21EA4" id="_x0000_s1071" type="#_x0000_t202" style="position:absolute;left:0;text-align:left;margin-left:-4pt;margin-top:30.6pt;width:450.15pt;height:110.6pt;z-index:251856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">
                <v:textbox style="mso-fit-shape-to-text:t">
                  <w:txbxContent>
                    <w:p w14:paraId="727EE35D" w14:textId="77777777" w:rsidR="00D52BA4" w:rsidRPr="009451B1" w:rsidRDefault="00D52BA4" w:rsidP="009451B1">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9451B1">
                        <w:rPr>
                          <w:rStyle w:val="normaltextrun"/>
                          <w:rFonts w:ascii="Calibri" w:hAnsi="Calibri" w:cs="Calibri"/>
                          <w:color w:val="000000"/>
                          <w:sz w:val="22"/>
                          <w:szCs w:val="22"/>
                        </w:rPr>
                        <w:t xml:space="preserve">The DSB currently follows its own proprietary framework for addressing the risk of information security incidents. Conformance to the framework is reviewed annually by the DSB management team and this is validated by an annual third-party assurance programme. </w:t>
                      </w:r>
                    </w:p>
                    <w:p w14:paraId="08E54B31" w14:textId="48313090" w:rsidR="00D52BA4" w:rsidRPr="009451B1" w:rsidRDefault="00D52BA4" w:rsidP="009451B1">
                      <w:pPr>
                        <w:pStyle w:val="paragraph"/>
                        <w:spacing w:before="240" w:after="120" w:line="276" w:lineRule="auto"/>
                        <w:textAlignment w:val="baseline"/>
                        <w:rPr>
                          <w:rStyle w:val="normaltextrun"/>
                          <w:rFonts w:ascii="Calibri" w:hAnsi="Calibri" w:cs="Calibri"/>
                          <w:color w:val="000000"/>
                          <w:sz w:val="22"/>
                          <w:szCs w:val="22"/>
                        </w:rPr>
                      </w:pPr>
                      <w:r w:rsidRPr="009451B1">
                        <w:rPr>
                          <w:rStyle w:val="normaltextrun"/>
                          <w:rFonts w:ascii="Calibri" w:hAnsi="Calibri" w:cs="Calibri"/>
                          <w:color w:val="000000"/>
                          <w:sz w:val="22"/>
                          <w:szCs w:val="22"/>
                        </w:rPr>
                        <w:t xml:space="preserve">The DSB has been asked whether it will implement an industry standard framework for addressing the risk of information security incidents, such as ISO/IEC 27001 (Information security management systems – Requirements) and ISO/IEC 27002 (Information technology — Security techniques — Code of practice for information security controls). The purpose of ISO certification would be to allow the DSB to be formally audited and certified compliant to a widely accepted international standard that guarantees management systematically examines the organization’s information security risks, taking account of the threats, vulnerabilities, and impacts. </w:t>
                      </w:r>
                    </w:p>
                    <w:p w14:paraId="68D125A8" w14:textId="622122F0" w:rsidR="00D52BA4" w:rsidRDefault="00D52BA4" w:rsidP="009451B1">
                      <w:pPr>
                        <w:pStyle w:val="paragraph"/>
                        <w:spacing w:before="240" w:beforeAutospacing="0" w:after="120" w:afterAutospacing="0" w:line="276" w:lineRule="auto"/>
                        <w:textAlignment w:val="baseline"/>
                      </w:pPr>
                      <w:r w:rsidRPr="009451B1">
                        <w:rPr>
                          <w:rStyle w:val="normaltextrun"/>
                          <w:rFonts w:ascii="Calibri" w:hAnsi="Calibri" w:cs="Calibri"/>
                          <w:b/>
                          <w:color w:val="000000"/>
                          <w:sz w:val="22"/>
                          <w:szCs w:val="22"/>
                        </w:rPr>
                        <w:t>CP1 Question:</w:t>
                      </w:r>
                      <w:r w:rsidRPr="009451B1">
                        <w:rPr>
                          <w:rStyle w:val="normaltextrun"/>
                          <w:rFonts w:ascii="Calibri" w:hAnsi="Calibri" w:cs="Calibri"/>
                          <w:color w:val="000000"/>
                          <w:sz w:val="22"/>
                          <w:szCs w:val="22"/>
                        </w:rPr>
                        <w:t xml:space="preserve"> Should the DSB explore adopting the ISO 2700X standard as its framework for addressing information security risks?</w:t>
                      </w:r>
                    </w:p>
                  </w:txbxContent>
                </v:textbox>
                <w10:wrap type="square" anchorx="margin"/>
              </v:shape>
            </w:pict>
          </mc:Fallback>
        </mc:AlternateContent>
      </w:r>
      <w:r w:rsidR="009451B1">
        <w:t xml:space="preserve">Q5.3 – </w:t>
      </w:r>
      <w:r w:rsidR="00032CF1">
        <w:t xml:space="preserve">ISO 27001/2 FOR </w:t>
      </w:r>
      <w:r w:rsidR="006F3CDF">
        <w:t xml:space="preserve">CYBER </w:t>
      </w:r>
      <w:r w:rsidR="00032CF1">
        <w:t>BREACH RISK</w:t>
      </w:r>
      <w:bookmarkEnd w:id="116"/>
      <w:bookmarkEnd w:id="117"/>
      <w:bookmarkEnd w:id="118"/>
    </w:p>
    <w:p w14:paraId="1E24D2FC" w14:textId="74B985C4" w:rsidR="009451B1" w:rsidRDefault="009451B1" w:rsidP="009451B1">
      <w:pPr>
        <w:spacing w:before="100" w:beforeAutospacing="1" w:after="100" w:afterAutospacing="1" w:line="276" w:lineRule="auto"/>
        <w:textAlignment w:val="baseline"/>
        <w:rPr>
          <w:u w:val="single"/>
        </w:rPr>
      </w:pPr>
      <w:r>
        <w:rPr>
          <w:u w:val="single"/>
        </w:rPr>
        <w:t>Industry Responses</w:t>
      </w:r>
    </w:p>
    <w:p w14:paraId="30AC0204" w14:textId="77777777" w:rsidR="009451B1" w:rsidRPr="00BB1C2A" w:rsidRDefault="009451B1" w:rsidP="009451B1">
      <w:pPr>
        <w:spacing w:before="240" w:after="120" w:line="276" w:lineRule="auto"/>
      </w:pPr>
      <w:r>
        <w:t>The responses received to the question posed in the first consultation are set out below</w:t>
      </w:r>
    </w:p>
    <w:tbl>
      <w:tblPr>
        <w:tblW w:w="3298" w:type="dxa"/>
        <w:tblBorders>
          <w:insideH w:val="single" w:sz="4" w:space="0" w:color="E7E6E6" w:themeColor="background2"/>
          <w:insideV w:val="single" w:sz="4" w:space="0" w:color="E7E6E6" w:themeColor="background2"/>
        </w:tblBorders>
        <w:tblLook w:val="04A0" w:firstRow="1" w:lastRow="0" w:firstColumn="1" w:lastColumn="0" w:noHBand="0" w:noVBand="1"/>
      </w:tblPr>
      <w:tblGrid>
        <w:gridCol w:w="2127"/>
        <w:gridCol w:w="515"/>
        <w:gridCol w:w="656"/>
      </w:tblGrid>
      <w:tr w:rsidR="00751FF1" w:rsidRPr="00A0275A" w14:paraId="156FAB70" w14:textId="77777777" w:rsidTr="00751FF1">
        <w:trPr>
          <w:trHeight w:val="288"/>
        </w:trPr>
        <w:tc>
          <w:tcPr>
            <w:tcW w:w="2127" w:type="dxa"/>
            <w:vMerge w:val="restart"/>
            <w:shd w:val="clear" w:color="auto" w:fill="auto"/>
            <w:noWrap/>
            <w:vAlign w:val="center"/>
            <w:hideMark/>
          </w:tcPr>
          <w:p w14:paraId="51D63336" w14:textId="77777777" w:rsidR="00751FF1" w:rsidRPr="00A0275A" w:rsidRDefault="00751FF1" w:rsidP="00C47967">
            <w:pPr>
              <w:spacing w:after="0" w:line="240" w:lineRule="auto"/>
              <w:rPr>
                <w:rFonts w:ascii="Times New Roman" w:eastAsia="Times New Roman" w:hAnsi="Times New Roman" w:cs="Times New Roman"/>
                <w:sz w:val="24"/>
                <w:szCs w:val="24"/>
                <w:lang w:eastAsia="en-GB"/>
              </w:rPr>
            </w:pPr>
          </w:p>
        </w:tc>
        <w:tc>
          <w:tcPr>
            <w:tcW w:w="515" w:type="dxa"/>
            <w:shd w:val="clear" w:color="auto" w:fill="auto"/>
            <w:noWrap/>
            <w:vAlign w:val="center"/>
            <w:hideMark/>
          </w:tcPr>
          <w:p w14:paraId="21777DB4" w14:textId="77777777" w:rsidR="00751FF1" w:rsidRPr="00A0275A" w:rsidRDefault="00751FF1" w:rsidP="00C47967">
            <w:pPr>
              <w:spacing w:after="0" w:line="240" w:lineRule="auto"/>
              <w:jc w:val="center"/>
              <w:rPr>
                <w:rFonts w:ascii="Calibri" w:eastAsia="Times New Roman" w:hAnsi="Calibri" w:cs="Calibri"/>
                <w:b/>
                <w:bCs/>
                <w:color w:val="000000"/>
                <w:sz w:val="21"/>
                <w:szCs w:val="21"/>
                <w:lang w:eastAsia="en-GB"/>
              </w:rPr>
            </w:pPr>
            <w:r w:rsidRPr="00A0275A">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001E2921" w14:textId="77777777" w:rsidR="00751FF1" w:rsidRPr="00A0275A" w:rsidRDefault="00751FF1" w:rsidP="00C47967">
            <w:pPr>
              <w:spacing w:after="0" w:line="240" w:lineRule="auto"/>
              <w:jc w:val="center"/>
              <w:rPr>
                <w:rFonts w:ascii="Calibri" w:eastAsia="Times New Roman" w:hAnsi="Calibri" w:cs="Calibri"/>
                <w:b/>
                <w:bCs/>
                <w:color w:val="000000"/>
                <w:sz w:val="21"/>
                <w:szCs w:val="21"/>
                <w:lang w:eastAsia="en-GB"/>
              </w:rPr>
            </w:pPr>
            <w:r w:rsidRPr="00A0275A">
              <w:rPr>
                <w:rFonts w:ascii="Calibri" w:eastAsia="Times New Roman" w:hAnsi="Calibri" w:cs="Calibri"/>
                <w:b/>
                <w:bCs/>
                <w:color w:val="000000"/>
                <w:sz w:val="21"/>
                <w:szCs w:val="21"/>
                <w:lang w:eastAsia="en-GB"/>
              </w:rPr>
              <w:t>No</w:t>
            </w:r>
          </w:p>
        </w:tc>
      </w:tr>
      <w:tr w:rsidR="00751FF1" w:rsidRPr="00A0275A" w14:paraId="767378E4" w14:textId="77777777" w:rsidTr="00751FF1">
        <w:trPr>
          <w:trHeight w:val="288"/>
        </w:trPr>
        <w:tc>
          <w:tcPr>
            <w:tcW w:w="2127" w:type="dxa"/>
            <w:vMerge/>
            <w:vAlign w:val="center"/>
            <w:hideMark/>
          </w:tcPr>
          <w:p w14:paraId="78109803" w14:textId="77777777" w:rsidR="00751FF1" w:rsidRPr="00A0275A" w:rsidRDefault="00751FF1" w:rsidP="00C47967">
            <w:pPr>
              <w:spacing w:after="0" w:line="240" w:lineRule="auto"/>
              <w:rPr>
                <w:rFonts w:ascii="Times New Roman" w:eastAsia="Times New Roman" w:hAnsi="Times New Roman" w:cs="Times New Roman"/>
                <w:sz w:val="24"/>
                <w:szCs w:val="24"/>
                <w:lang w:eastAsia="en-GB"/>
              </w:rPr>
            </w:pPr>
          </w:p>
        </w:tc>
        <w:tc>
          <w:tcPr>
            <w:tcW w:w="515" w:type="dxa"/>
            <w:shd w:val="clear" w:color="000000" w:fill="9CCF7F"/>
            <w:noWrap/>
            <w:vAlign w:val="center"/>
            <w:hideMark/>
          </w:tcPr>
          <w:p w14:paraId="2FA4B15D" w14:textId="77777777" w:rsidR="00751FF1" w:rsidRPr="00A0275A" w:rsidRDefault="00751FF1" w:rsidP="00C47967">
            <w:pPr>
              <w:spacing w:after="0" w:line="240" w:lineRule="auto"/>
              <w:jc w:val="center"/>
              <w:rPr>
                <w:rFonts w:ascii="Calibri" w:eastAsia="Times New Roman" w:hAnsi="Calibri" w:cs="Calibri"/>
                <w:b/>
                <w:bCs/>
                <w:color w:val="000000"/>
                <w:sz w:val="21"/>
                <w:szCs w:val="21"/>
                <w:lang w:eastAsia="en-GB"/>
              </w:rPr>
            </w:pPr>
            <w:r w:rsidRPr="00A0275A">
              <w:rPr>
                <w:rFonts w:ascii="Calibri" w:eastAsia="Times New Roman" w:hAnsi="Calibri" w:cs="Calibri"/>
                <w:b/>
                <w:bCs/>
                <w:color w:val="000000"/>
                <w:sz w:val="21"/>
                <w:szCs w:val="21"/>
                <w:lang w:eastAsia="en-GB"/>
              </w:rPr>
              <w:t>8</w:t>
            </w:r>
          </w:p>
        </w:tc>
        <w:tc>
          <w:tcPr>
            <w:tcW w:w="656" w:type="dxa"/>
            <w:shd w:val="clear" w:color="000000" w:fill="F98570"/>
            <w:noWrap/>
            <w:vAlign w:val="center"/>
            <w:hideMark/>
          </w:tcPr>
          <w:p w14:paraId="5C350371" w14:textId="77777777" w:rsidR="00751FF1" w:rsidRPr="00A0275A" w:rsidRDefault="00751FF1" w:rsidP="00C47967">
            <w:pPr>
              <w:spacing w:after="0" w:line="240" w:lineRule="auto"/>
              <w:jc w:val="center"/>
              <w:rPr>
                <w:rFonts w:ascii="Calibri" w:eastAsia="Times New Roman" w:hAnsi="Calibri" w:cs="Calibri"/>
                <w:b/>
                <w:bCs/>
                <w:color w:val="000000"/>
                <w:sz w:val="21"/>
                <w:szCs w:val="21"/>
                <w:lang w:eastAsia="en-GB"/>
              </w:rPr>
            </w:pPr>
            <w:r w:rsidRPr="00A0275A">
              <w:rPr>
                <w:rFonts w:ascii="Calibri" w:eastAsia="Times New Roman" w:hAnsi="Calibri" w:cs="Calibri"/>
                <w:b/>
                <w:bCs/>
                <w:color w:val="000000"/>
                <w:sz w:val="21"/>
                <w:szCs w:val="21"/>
                <w:lang w:eastAsia="en-GB"/>
              </w:rPr>
              <w:t>1</w:t>
            </w:r>
          </w:p>
        </w:tc>
      </w:tr>
      <w:tr w:rsidR="00751FF1" w:rsidRPr="00A0275A" w14:paraId="69A4871E" w14:textId="77777777" w:rsidTr="00751FF1">
        <w:trPr>
          <w:trHeight w:val="288"/>
        </w:trPr>
        <w:tc>
          <w:tcPr>
            <w:tcW w:w="2127" w:type="dxa"/>
            <w:shd w:val="clear" w:color="auto" w:fill="auto"/>
            <w:noWrap/>
            <w:vAlign w:val="center"/>
            <w:hideMark/>
          </w:tcPr>
          <w:p w14:paraId="46F1A8BB" w14:textId="77777777" w:rsidR="00751FF1" w:rsidRPr="00A0275A" w:rsidRDefault="00751FF1" w:rsidP="00C47967">
            <w:pPr>
              <w:spacing w:after="0" w:line="240" w:lineRule="auto"/>
              <w:jc w:val="right"/>
              <w:rPr>
                <w:rFonts w:ascii="Calibri" w:eastAsia="Times New Roman" w:hAnsi="Calibri" w:cs="Calibri"/>
                <w:color w:val="000000"/>
                <w:sz w:val="21"/>
                <w:szCs w:val="21"/>
                <w:lang w:eastAsia="en-GB"/>
              </w:rPr>
            </w:pPr>
            <w:r w:rsidRPr="00A0275A">
              <w:rPr>
                <w:rFonts w:ascii="Calibri" w:eastAsia="Times New Roman" w:hAnsi="Calibri" w:cs="Calibri"/>
                <w:color w:val="000000"/>
                <w:sz w:val="21"/>
                <w:szCs w:val="21"/>
                <w:lang w:eastAsia="en-GB"/>
              </w:rPr>
              <w:t>Trade Associations</w:t>
            </w:r>
          </w:p>
        </w:tc>
        <w:tc>
          <w:tcPr>
            <w:tcW w:w="515" w:type="dxa"/>
            <w:shd w:val="clear" w:color="auto" w:fill="auto"/>
            <w:noWrap/>
            <w:vAlign w:val="center"/>
            <w:hideMark/>
          </w:tcPr>
          <w:p w14:paraId="3FE2E8F9" w14:textId="77777777" w:rsidR="00751FF1" w:rsidRPr="00A0275A" w:rsidRDefault="00751FF1" w:rsidP="00C47967">
            <w:pPr>
              <w:spacing w:after="0" w:line="240" w:lineRule="auto"/>
              <w:jc w:val="center"/>
              <w:rPr>
                <w:rFonts w:ascii="Calibri" w:eastAsia="Times New Roman" w:hAnsi="Calibri" w:cs="Calibri"/>
                <w:color w:val="FFFFFF"/>
                <w:sz w:val="21"/>
                <w:szCs w:val="21"/>
                <w:lang w:eastAsia="en-GB"/>
              </w:rPr>
            </w:pPr>
            <w:r w:rsidRPr="00A0275A">
              <w:rPr>
                <w:rFonts w:ascii="Calibri" w:eastAsia="Times New Roman" w:hAnsi="Calibri" w:cs="Calibri"/>
                <w:color w:val="FFFFFF"/>
                <w:sz w:val="21"/>
                <w:szCs w:val="21"/>
                <w:lang w:eastAsia="en-GB"/>
              </w:rPr>
              <w:t>0</w:t>
            </w:r>
          </w:p>
        </w:tc>
        <w:tc>
          <w:tcPr>
            <w:tcW w:w="656" w:type="dxa"/>
            <w:shd w:val="clear" w:color="auto" w:fill="auto"/>
            <w:noWrap/>
            <w:vAlign w:val="center"/>
            <w:hideMark/>
          </w:tcPr>
          <w:p w14:paraId="7F106687" w14:textId="77777777" w:rsidR="00751FF1" w:rsidRPr="00A0275A" w:rsidRDefault="00751FF1" w:rsidP="00C47967">
            <w:pPr>
              <w:spacing w:after="0" w:line="240" w:lineRule="auto"/>
              <w:jc w:val="center"/>
              <w:rPr>
                <w:rFonts w:ascii="Calibri" w:eastAsia="Times New Roman" w:hAnsi="Calibri" w:cs="Calibri"/>
                <w:color w:val="000000"/>
                <w:sz w:val="21"/>
                <w:szCs w:val="21"/>
                <w:lang w:eastAsia="en-GB"/>
              </w:rPr>
            </w:pPr>
            <w:r w:rsidRPr="00A0275A">
              <w:rPr>
                <w:rFonts w:ascii="Calibri" w:eastAsia="Times New Roman" w:hAnsi="Calibri" w:cs="Calibri"/>
                <w:color w:val="000000"/>
                <w:sz w:val="21"/>
                <w:szCs w:val="21"/>
                <w:lang w:eastAsia="en-GB"/>
              </w:rPr>
              <w:t>1</w:t>
            </w:r>
          </w:p>
        </w:tc>
      </w:tr>
      <w:tr w:rsidR="00751FF1" w:rsidRPr="00A0275A" w14:paraId="588A8A25" w14:textId="77777777" w:rsidTr="00751FF1">
        <w:trPr>
          <w:trHeight w:val="288"/>
        </w:trPr>
        <w:tc>
          <w:tcPr>
            <w:tcW w:w="2127" w:type="dxa"/>
            <w:shd w:val="clear" w:color="auto" w:fill="auto"/>
            <w:noWrap/>
            <w:vAlign w:val="center"/>
            <w:hideMark/>
          </w:tcPr>
          <w:p w14:paraId="67E087B3" w14:textId="77777777" w:rsidR="00751FF1" w:rsidRPr="00A0275A" w:rsidRDefault="00751FF1" w:rsidP="00C47967">
            <w:pPr>
              <w:spacing w:after="0" w:line="240" w:lineRule="auto"/>
              <w:jc w:val="right"/>
              <w:rPr>
                <w:rFonts w:ascii="Calibri" w:eastAsia="Times New Roman" w:hAnsi="Calibri" w:cs="Calibri"/>
                <w:color w:val="000000"/>
                <w:sz w:val="21"/>
                <w:szCs w:val="21"/>
                <w:lang w:eastAsia="en-GB"/>
              </w:rPr>
            </w:pPr>
            <w:r w:rsidRPr="00A0275A">
              <w:rPr>
                <w:rFonts w:ascii="Calibri" w:eastAsia="Times New Roman" w:hAnsi="Calibri" w:cs="Calibri"/>
                <w:color w:val="000000"/>
                <w:sz w:val="21"/>
                <w:szCs w:val="21"/>
                <w:lang w:eastAsia="en-GB"/>
              </w:rPr>
              <w:t>DSB Users</w:t>
            </w:r>
          </w:p>
        </w:tc>
        <w:tc>
          <w:tcPr>
            <w:tcW w:w="515" w:type="dxa"/>
            <w:shd w:val="clear" w:color="auto" w:fill="auto"/>
            <w:noWrap/>
            <w:vAlign w:val="center"/>
            <w:hideMark/>
          </w:tcPr>
          <w:p w14:paraId="2BC2DD42" w14:textId="77777777" w:rsidR="00751FF1" w:rsidRPr="00A0275A" w:rsidRDefault="00751FF1" w:rsidP="00C47967">
            <w:pPr>
              <w:spacing w:after="0" w:line="240" w:lineRule="auto"/>
              <w:jc w:val="center"/>
              <w:rPr>
                <w:rFonts w:ascii="Calibri" w:eastAsia="Times New Roman" w:hAnsi="Calibri" w:cs="Calibri"/>
                <w:color w:val="000000"/>
                <w:sz w:val="21"/>
                <w:szCs w:val="21"/>
                <w:lang w:eastAsia="en-GB"/>
              </w:rPr>
            </w:pPr>
            <w:r w:rsidRPr="00A0275A">
              <w:rPr>
                <w:rFonts w:ascii="Calibri" w:eastAsia="Times New Roman" w:hAnsi="Calibri" w:cs="Calibri"/>
                <w:color w:val="000000"/>
                <w:sz w:val="21"/>
                <w:szCs w:val="21"/>
                <w:lang w:eastAsia="en-GB"/>
              </w:rPr>
              <w:t>8</w:t>
            </w:r>
          </w:p>
        </w:tc>
        <w:tc>
          <w:tcPr>
            <w:tcW w:w="656" w:type="dxa"/>
            <w:shd w:val="clear" w:color="auto" w:fill="auto"/>
            <w:noWrap/>
            <w:vAlign w:val="center"/>
            <w:hideMark/>
          </w:tcPr>
          <w:p w14:paraId="6DAEF0C9" w14:textId="77777777" w:rsidR="00751FF1" w:rsidRPr="00A0275A" w:rsidRDefault="00751FF1" w:rsidP="00C47967">
            <w:pPr>
              <w:spacing w:after="0" w:line="240" w:lineRule="auto"/>
              <w:jc w:val="center"/>
              <w:rPr>
                <w:rFonts w:ascii="Calibri" w:eastAsia="Times New Roman" w:hAnsi="Calibri" w:cs="Calibri"/>
                <w:color w:val="FFFFFF"/>
                <w:sz w:val="21"/>
                <w:szCs w:val="21"/>
                <w:lang w:eastAsia="en-GB"/>
              </w:rPr>
            </w:pPr>
            <w:r w:rsidRPr="00A0275A">
              <w:rPr>
                <w:rFonts w:ascii="Calibri" w:eastAsia="Times New Roman" w:hAnsi="Calibri" w:cs="Calibri"/>
                <w:color w:val="FFFFFF"/>
                <w:sz w:val="21"/>
                <w:szCs w:val="21"/>
                <w:lang w:eastAsia="en-GB"/>
              </w:rPr>
              <w:t>0</w:t>
            </w:r>
          </w:p>
        </w:tc>
      </w:tr>
    </w:tbl>
    <w:p w14:paraId="55E27FB6" w14:textId="46515CB6" w:rsidR="009451B1" w:rsidRDefault="00A50AEA" w:rsidP="009451B1">
      <w:pPr>
        <w:spacing w:before="240" w:after="120" w:line="276" w:lineRule="auto"/>
      </w:pPr>
      <w:r>
        <w:t xml:space="preserve">A large majority of the </w:t>
      </w:r>
      <w:r w:rsidR="009451B1">
        <w:t>consultation responses were positive. One trade association primarily representing trading venues did not see any use case given the low amount of personally identifiable information held by the DSB. All other responde</w:t>
      </w:r>
      <w:r w:rsidR="00163EB4">
        <w:t>nts</w:t>
      </w:r>
      <w:r w:rsidR="009451B1">
        <w:t xml:space="preserve"> were supportive, </w:t>
      </w:r>
      <w:r>
        <w:t xml:space="preserve">with </w:t>
      </w:r>
      <w:r w:rsidR="009451B1">
        <w:t>a general theme of ensuring cost-effectiveness of implementation.</w:t>
      </w:r>
    </w:p>
    <w:p w14:paraId="17FB9D60" w14:textId="77777777" w:rsidR="00A50AEA" w:rsidRDefault="00A50AEA" w:rsidP="001663C8">
      <w:pPr>
        <w:spacing w:before="240"/>
        <w:rPr>
          <w:u w:val="single"/>
        </w:rPr>
      </w:pPr>
      <w:r>
        <w:rPr>
          <w:u w:val="single"/>
        </w:rPr>
        <w:t>Analysis of Responses</w:t>
      </w:r>
    </w:p>
    <w:p w14:paraId="5C8B7711" w14:textId="3078658F" w:rsidR="00E11CE8" w:rsidRDefault="00E11CE8" w:rsidP="00E11CE8">
      <w:r>
        <w:t>Addressing the articulated concern:</w:t>
      </w:r>
    </w:p>
    <w:p w14:paraId="6D63A5CF" w14:textId="77777777" w:rsidR="00E11CE8" w:rsidRDefault="00E11CE8" w:rsidP="00E11CE8">
      <w:pPr>
        <w:pStyle w:val="ListParagraph"/>
        <w:numPr>
          <w:ilvl w:val="0"/>
          <w:numId w:val="54"/>
        </w:numPr>
        <w:rPr>
          <w:i/>
        </w:rPr>
      </w:pPr>
      <w:r w:rsidRPr="0074047D">
        <w:rPr>
          <w:i/>
        </w:rPr>
        <w:t>Relevance of ISO27001/2 given the low amount of PII data held by the DSB</w:t>
      </w:r>
    </w:p>
    <w:p w14:paraId="22DCDFDA" w14:textId="77777777" w:rsidR="00E11CE8" w:rsidRDefault="00E11CE8" w:rsidP="00E11CE8">
      <w:pPr>
        <w:pStyle w:val="ListParagraph"/>
      </w:pPr>
      <w:r>
        <w:t xml:space="preserve">There may be some confusion between the scope of the ISO 27001/2 standards and ISO 27018. The latter is related to risk of PII data breach and is not in scope of this question. The PII breach issue is addressed via Q5.4 of the CP1 consultation (see section </w:t>
      </w:r>
      <w:r>
        <w:fldChar w:fldCharType="begin"/>
      </w:r>
      <w:r>
        <w:instrText xml:space="preserve"> REF _Ref13052812 \r \h </w:instrText>
      </w:r>
      <w:r>
        <w:fldChar w:fldCharType="separate"/>
      </w:r>
      <w:r>
        <w:t>5.5.4</w:t>
      </w:r>
      <w:r>
        <w:fldChar w:fldCharType="end"/>
      </w:r>
      <w:r>
        <w:t>).</w:t>
      </w:r>
    </w:p>
    <w:p w14:paraId="0E84662C" w14:textId="77777777" w:rsidR="00E11CE8" w:rsidRDefault="00E11CE8" w:rsidP="00E11CE8">
      <w:pPr>
        <w:pStyle w:val="ListParagraph"/>
      </w:pPr>
    </w:p>
    <w:p w14:paraId="08504D66" w14:textId="77777777" w:rsidR="00E11CE8" w:rsidRDefault="00E11CE8" w:rsidP="00E11CE8">
      <w:pPr>
        <w:pStyle w:val="ListParagraph"/>
      </w:pPr>
      <w:r>
        <w:t xml:space="preserve">The DSB’s proposal under this question is to utilise ISO 27001/2 standards for implementation of a </w:t>
      </w:r>
      <w:r w:rsidRPr="00855FAD">
        <w:t xml:space="preserve">systematic approach to </w:t>
      </w:r>
      <w:r>
        <w:t xml:space="preserve">securing the DSB’s systems against cyber-attack using an international standard for its processes and controls. A successful cyber-attack may disable the DSB’s ISIN search and creation service, regardless of the level of PII held in the system. Hence the DSB’s view of the need for the implementation of appropriate security </w:t>
      </w:r>
      <w:r>
        <w:lastRenderedPageBreak/>
        <w:t>standards. The DSB’s implementation of cyber-security today utilises its own proprietary processes and controls.</w:t>
      </w:r>
    </w:p>
    <w:p w14:paraId="6D4A53E3" w14:textId="2AD13382" w:rsidR="009451B1" w:rsidRDefault="009451B1" w:rsidP="009451B1">
      <w:pPr>
        <w:spacing w:before="240" w:after="120" w:line="276" w:lineRule="auto"/>
      </w:pPr>
      <w:r>
        <w:t xml:space="preserve">The consultation responses were reviewed at the 18 June TAC meeting and there was general consensus for the DSB to explore the option of adopting an international standard as its cyber-security framework. </w:t>
      </w:r>
    </w:p>
    <w:p w14:paraId="36B1CE94" w14:textId="3F65C57A" w:rsidR="00A50AEA" w:rsidRDefault="00A50AEA" w:rsidP="009451B1">
      <w:pPr>
        <w:spacing w:before="240" w:after="120" w:line="276" w:lineRule="auto"/>
        <w:rPr>
          <w:bCs/>
        </w:rPr>
      </w:pPr>
      <w:r>
        <w:rPr>
          <w:bCs/>
        </w:rPr>
        <w:t xml:space="preserve">The </w:t>
      </w:r>
      <w:r w:rsidR="00A07975">
        <w:rPr>
          <w:bCs/>
        </w:rPr>
        <w:t xml:space="preserve">DSB view is that the </w:t>
      </w:r>
      <w:r>
        <w:rPr>
          <w:bCs/>
        </w:rPr>
        <w:t>likelihood of a cost-effective implementation can be increased by ensuring a robust analysis is performed on how to implement the change, taking into account likely costs and benefits. The robustness of the analysis can be enhanced by providing an effective governance model, based on the CISO taking the lead (if approved in Q5.5) with input from the TAC.</w:t>
      </w:r>
    </w:p>
    <w:p w14:paraId="6123D6D4" w14:textId="77777777" w:rsidR="00163EB4" w:rsidRPr="00A50AEA" w:rsidRDefault="00163EB4" w:rsidP="009451B1">
      <w:pPr>
        <w:spacing w:before="240" w:after="120" w:line="276" w:lineRule="auto"/>
        <w:rPr>
          <w:bCs/>
        </w:rPr>
      </w:pPr>
    </w:p>
    <w:p w14:paraId="57812572" w14:textId="6D9E1BD0" w:rsidR="009451B1" w:rsidRDefault="00A50AEA" w:rsidP="009451B1">
      <w:pPr>
        <w:spacing w:before="240" w:after="120" w:line="276" w:lineRule="auto"/>
        <w:rPr>
          <w:b/>
          <w:bCs/>
          <w:u w:val="single"/>
        </w:rPr>
      </w:pPr>
      <w:r>
        <w:rPr>
          <w:u w:val="single"/>
        </w:rPr>
        <w:t>DSB Proposed Next Steps</w:t>
      </w:r>
    </w:p>
    <w:p w14:paraId="123DC037" w14:textId="77777777" w:rsidR="009451B1" w:rsidRDefault="009451B1" w:rsidP="009451B1">
      <w:pPr>
        <w:spacing w:before="240" w:after="120" w:line="276" w:lineRule="auto"/>
      </w:pPr>
      <w:r>
        <w:t xml:space="preserve">On the assumption that industry approves the on-boarding of the new CISO function (see Q5.5), the DSB proposes to move forward in principle with implementing the ISO27001/27002 framework, but to spend 2020 performing only the analysis, led by the CISO and in conjunction with the TAC. </w:t>
      </w:r>
    </w:p>
    <w:p w14:paraId="6603AD1C" w14:textId="49EA29A7" w:rsidR="009451B1" w:rsidRDefault="009451B1" w:rsidP="009451B1">
      <w:pPr>
        <w:spacing w:before="240" w:after="120" w:line="276" w:lineRule="auto"/>
      </w:pPr>
      <w:r>
        <w:t xml:space="preserve">The scope of this analysis to include costs of implementation as well </w:t>
      </w:r>
      <w:r w:rsidR="005754DE">
        <w:t xml:space="preserve">as </w:t>
      </w:r>
      <w:r>
        <w:t>details of the cost-benefit and an explanation of how costs will be contained. The analysis will be reviewed by the TAC and assuming agreement, will be the subject of a subsequent consultation in 2020 for possible implementation in 2021.</w:t>
      </w:r>
    </w:p>
    <w:p w14:paraId="3614EEAD" w14:textId="77777777" w:rsidR="009451B1" w:rsidRPr="001663C8" w:rsidRDefault="009451B1" w:rsidP="009451B1">
      <w:pPr>
        <w:pStyle w:val="paragraph"/>
        <w:numPr>
          <w:ilvl w:val="0"/>
          <w:numId w:val="32"/>
        </w:numPr>
        <w:spacing w:line="276" w:lineRule="auto"/>
        <w:textAlignment w:val="baseline"/>
        <w:rPr>
          <w:rFonts w:ascii="Calibri" w:hAnsi="Calibri" w:cs="Calibri"/>
          <w:sz w:val="22"/>
          <w:szCs w:val="22"/>
        </w:rPr>
      </w:pPr>
      <w:r w:rsidRPr="001663C8">
        <w:rPr>
          <w:rFonts w:ascii="Calibri" w:hAnsi="Calibri" w:cs="Calibri"/>
          <w:sz w:val="22"/>
          <w:szCs w:val="22"/>
        </w:rPr>
        <w:t xml:space="preserve">Governance: Led by CISO and with TAC involvement </w:t>
      </w:r>
    </w:p>
    <w:p w14:paraId="5C154514" w14:textId="77777777" w:rsidR="009451B1" w:rsidRPr="001663C8" w:rsidRDefault="009451B1" w:rsidP="009451B1">
      <w:pPr>
        <w:pStyle w:val="paragraph"/>
        <w:numPr>
          <w:ilvl w:val="0"/>
          <w:numId w:val="32"/>
        </w:numPr>
        <w:spacing w:line="276" w:lineRule="auto"/>
        <w:textAlignment w:val="baseline"/>
        <w:rPr>
          <w:rFonts w:ascii="Calibri" w:hAnsi="Calibri" w:cs="Calibri"/>
          <w:sz w:val="22"/>
          <w:szCs w:val="22"/>
        </w:rPr>
      </w:pPr>
      <w:r w:rsidRPr="001663C8">
        <w:rPr>
          <w:rFonts w:ascii="Calibri" w:hAnsi="Calibri" w:cs="Calibri"/>
          <w:sz w:val="22"/>
          <w:szCs w:val="22"/>
        </w:rPr>
        <w:t>Costs:</w:t>
      </w:r>
    </w:p>
    <w:p w14:paraId="3707EF20" w14:textId="77777777" w:rsidR="009451B1" w:rsidRPr="001663C8" w:rsidRDefault="009451B1" w:rsidP="009451B1">
      <w:pPr>
        <w:pStyle w:val="paragraph"/>
        <w:numPr>
          <w:ilvl w:val="1"/>
          <w:numId w:val="32"/>
        </w:numPr>
        <w:spacing w:line="276" w:lineRule="auto"/>
        <w:textAlignment w:val="baseline"/>
        <w:rPr>
          <w:rFonts w:ascii="Calibri" w:hAnsi="Calibri" w:cs="Calibri"/>
          <w:sz w:val="22"/>
          <w:szCs w:val="22"/>
        </w:rPr>
      </w:pPr>
      <w:proofErr w:type="spellStart"/>
      <w:r w:rsidRPr="001663C8">
        <w:rPr>
          <w:rFonts w:ascii="Calibri" w:hAnsi="Calibri" w:cs="Calibri"/>
          <w:sz w:val="22"/>
          <w:szCs w:val="22"/>
        </w:rPr>
        <w:t>Opex</w:t>
      </w:r>
      <w:proofErr w:type="spellEnd"/>
      <w:r w:rsidRPr="001663C8">
        <w:rPr>
          <w:rFonts w:ascii="Calibri" w:hAnsi="Calibri" w:cs="Calibri"/>
          <w:sz w:val="22"/>
          <w:szCs w:val="22"/>
        </w:rPr>
        <w:t xml:space="preserve">: €90k analysis </w:t>
      </w:r>
    </w:p>
    <w:p w14:paraId="466D76D1" w14:textId="23B42BA7" w:rsidR="009451B1" w:rsidRPr="00DA7FD4" w:rsidRDefault="001663C8" w:rsidP="00815088">
      <w:pPr>
        <w:spacing w:line="256" w:lineRule="auto"/>
        <w:rPr>
          <w:rFonts w:ascii="Calibri" w:eastAsia="Times New Roman" w:hAnsi="Calibri" w:cs="Calibri"/>
          <w:sz w:val="24"/>
          <w:szCs w:val="24"/>
          <w:lang w:eastAsia="en-GB"/>
        </w:rPr>
      </w:pPr>
      <w:r w:rsidRPr="00BB1525">
        <w:rPr>
          <w:rFonts w:eastAsia="Times New Roman"/>
          <w:color w:val="000000"/>
          <w:lang w:eastAsia="en-GB"/>
        </w:rPr>
        <w:t>Impact on DSB total costs</w:t>
      </w:r>
      <w:r w:rsidR="009451B1" w:rsidRPr="00DA7FD4">
        <w:rPr>
          <w:rFonts w:ascii="Calibri" w:eastAsia="Times New Roman" w:hAnsi="Calibri" w:cs="Calibri"/>
          <w:lang w:eastAsia="en-GB"/>
        </w:rPr>
        <w:t>: €90K in 2020 (</w:t>
      </w:r>
      <w:r w:rsidR="003452C6" w:rsidRPr="00DA7FD4">
        <w:rPr>
          <w:rFonts w:ascii="Calibri" w:eastAsia="Times New Roman" w:hAnsi="Calibri" w:cs="Calibri"/>
          <w:lang w:eastAsia="en-GB"/>
        </w:rPr>
        <w:t>&lt;1% increase in total costs</w:t>
      </w:r>
      <w:r w:rsidR="009451B1" w:rsidRPr="00DA7FD4">
        <w:rPr>
          <w:rFonts w:ascii="Calibri" w:eastAsia="Times New Roman" w:hAnsi="Calibri" w:cs="Calibri"/>
          <w:lang w:eastAsia="en-GB"/>
        </w:rPr>
        <w:t>); none from 2021</w:t>
      </w:r>
      <w:r w:rsidR="009451B1" w:rsidRPr="00DA7FD4">
        <w:rPr>
          <w:rFonts w:ascii="Calibri" w:eastAsia="Times New Roman" w:hAnsi="Calibri" w:cs="Calibri"/>
          <w:sz w:val="24"/>
          <w:szCs w:val="24"/>
          <w:lang w:eastAsia="en-GB"/>
        </w:rPr>
        <w:t xml:space="preserve"> onwards</w:t>
      </w:r>
    </w:p>
    <w:p w14:paraId="3BEEAD68" w14:textId="0E2F3C7B" w:rsidR="00752270" w:rsidRDefault="004B1F21" w:rsidP="00752270">
      <w:r w:rsidRPr="008D66F6">
        <w:rPr>
          <w:noProof/>
          <w:lang w:eastAsia="en-GB"/>
        </w:rPr>
        <mc:AlternateContent>
          <mc:Choice Requires="wps">
            <w:drawing>
              <wp:anchor distT="45720" distB="45720" distL="114300" distR="114300" simplePos="0" relativeHeight="251865088" behindDoc="1" locked="0" layoutInCell="1" allowOverlap="1" wp14:anchorId="70118C67" wp14:editId="790D4747">
                <wp:simplePos x="0" y="0"/>
                <wp:positionH relativeFrom="margin">
                  <wp:posOffset>-2540</wp:posOffset>
                </wp:positionH>
                <wp:positionV relativeFrom="paragraph">
                  <wp:posOffset>166370</wp:posOffset>
                </wp:positionV>
                <wp:extent cx="5716905" cy="1404620"/>
                <wp:effectExtent l="0" t="0" r="17145" b="21590"/>
                <wp:wrapTight wrapText="bothSides">
                  <wp:wrapPolygon edited="0">
                    <wp:start x="0" y="0"/>
                    <wp:lineTo x="0" y="21676"/>
                    <wp:lineTo x="21593" y="21676"/>
                    <wp:lineTo x="21593"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B3EC6E9" w14:textId="2220DB75" w:rsidR="00D52BA4" w:rsidRDefault="00D52BA4" w:rsidP="009451B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A50AEA">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A50AEA">
                              <w:rPr>
                                <w:rStyle w:val="eop"/>
                                <w:rFonts w:ascii="Calibri" w:eastAsiaTheme="majorEastAsia" w:hAnsi="Calibri" w:cs="Calibri"/>
                                <w:sz w:val="22"/>
                                <w:szCs w:val="22"/>
                              </w:rPr>
                              <w:t xml:space="preserve">to move forward with </w:t>
                            </w:r>
                            <w:r>
                              <w:rPr>
                                <w:rStyle w:val="eop"/>
                                <w:rFonts w:ascii="Calibri" w:eastAsiaTheme="majorEastAsia" w:hAnsi="Calibri" w:cs="Calibri"/>
                                <w:sz w:val="22"/>
                                <w:szCs w:val="22"/>
                              </w:rPr>
                              <w:t xml:space="preserve">the </w:t>
                            </w:r>
                            <w:r w:rsidRPr="00A50AEA">
                              <w:rPr>
                                <w:rStyle w:val="eop"/>
                                <w:rFonts w:ascii="Calibri" w:eastAsiaTheme="majorEastAsia" w:hAnsi="Calibri" w:cs="Calibri"/>
                                <w:sz w:val="22"/>
                                <w:szCs w:val="22"/>
                              </w:rPr>
                              <w:t xml:space="preserve">analysis </w:t>
                            </w:r>
                            <w:r>
                              <w:rPr>
                                <w:rStyle w:val="eop"/>
                                <w:rFonts w:ascii="Calibri" w:eastAsiaTheme="majorEastAsia" w:hAnsi="Calibri" w:cs="Calibri"/>
                                <w:sz w:val="22"/>
                                <w:szCs w:val="22"/>
                              </w:rPr>
                              <w:t xml:space="preserve">phase for the implementation of </w:t>
                            </w:r>
                            <w:r w:rsidRPr="00A50AEA">
                              <w:rPr>
                                <w:rStyle w:val="eop"/>
                                <w:rFonts w:ascii="Calibri" w:eastAsiaTheme="majorEastAsia" w:hAnsi="Calibri" w:cs="Calibri"/>
                                <w:sz w:val="22"/>
                                <w:szCs w:val="22"/>
                              </w:rPr>
                              <w:t>the ISO27001/27002 framework</w:t>
                            </w:r>
                            <w:r>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18C67" id="Text Box 49" o:spid="_x0000_s1072" type="#_x0000_t202" style="position:absolute;margin-left:-.2pt;margin-top:13.1pt;width:450.15pt;height:110.6pt;z-index:-251451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">
                <v:textbox style="mso-fit-shape-to-text:t">
                  <w:txbxContent>
                    <w:p w14:paraId="7B3EC6E9" w14:textId="2220DB75" w:rsidR="00D52BA4" w:rsidRDefault="00D52BA4" w:rsidP="009451B1">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23</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A50AEA">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w:t>
                      </w:r>
                      <w:r w:rsidRPr="00A50AEA">
                        <w:rPr>
                          <w:rStyle w:val="eop"/>
                          <w:rFonts w:ascii="Calibri" w:eastAsiaTheme="majorEastAsia" w:hAnsi="Calibri" w:cs="Calibri"/>
                          <w:sz w:val="22"/>
                          <w:szCs w:val="22"/>
                        </w:rPr>
                        <w:t xml:space="preserve">to move forward with </w:t>
                      </w:r>
                      <w:r>
                        <w:rPr>
                          <w:rStyle w:val="eop"/>
                          <w:rFonts w:ascii="Calibri" w:eastAsiaTheme="majorEastAsia" w:hAnsi="Calibri" w:cs="Calibri"/>
                          <w:sz w:val="22"/>
                          <w:szCs w:val="22"/>
                        </w:rPr>
                        <w:t xml:space="preserve">the </w:t>
                      </w:r>
                      <w:r w:rsidRPr="00A50AEA">
                        <w:rPr>
                          <w:rStyle w:val="eop"/>
                          <w:rFonts w:ascii="Calibri" w:eastAsiaTheme="majorEastAsia" w:hAnsi="Calibri" w:cs="Calibri"/>
                          <w:sz w:val="22"/>
                          <w:szCs w:val="22"/>
                        </w:rPr>
                        <w:t xml:space="preserve">analysis </w:t>
                      </w:r>
                      <w:r>
                        <w:rPr>
                          <w:rStyle w:val="eop"/>
                          <w:rFonts w:ascii="Calibri" w:eastAsiaTheme="majorEastAsia" w:hAnsi="Calibri" w:cs="Calibri"/>
                          <w:sz w:val="22"/>
                          <w:szCs w:val="22"/>
                        </w:rPr>
                        <w:t xml:space="preserve">phase for the implementation of </w:t>
                      </w:r>
                      <w:r w:rsidRPr="00A50AEA">
                        <w:rPr>
                          <w:rStyle w:val="eop"/>
                          <w:rFonts w:ascii="Calibri" w:eastAsiaTheme="majorEastAsia" w:hAnsi="Calibri" w:cs="Calibri"/>
                          <w:sz w:val="22"/>
                          <w:szCs w:val="22"/>
                        </w:rPr>
                        <w:t>the ISO27001/27002 framework</w:t>
                      </w:r>
                      <w:r>
                        <w:rPr>
                          <w:rStyle w:val="eop"/>
                          <w:rFonts w:ascii="Calibri" w:eastAsiaTheme="majorEastAsia" w:hAnsi="Calibri" w:cs="Calibri"/>
                          <w:sz w:val="22"/>
                          <w:szCs w:val="22"/>
                        </w:rPr>
                        <w:t>?</w:t>
                      </w:r>
                    </w:p>
                  </w:txbxContent>
                </v:textbox>
                <w10:wrap type="tight" anchorx="margin"/>
              </v:shape>
            </w:pict>
          </mc:Fallback>
        </mc:AlternateContent>
      </w:r>
    </w:p>
    <w:p w14:paraId="5DD5C31F" w14:textId="77777777" w:rsidR="004B1F21" w:rsidRDefault="004B1F21">
      <w:pPr>
        <w:rPr>
          <w:rFonts w:asciiTheme="majorHAnsi" w:eastAsiaTheme="majorEastAsia" w:hAnsiTheme="majorHAnsi" w:cstheme="majorBidi"/>
          <w:color w:val="1F4D78" w:themeColor="accent1" w:themeShade="7F"/>
          <w:sz w:val="24"/>
          <w:szCs w:val="24"/>
        </w:rPr>
      </w:pPr>
      <w:r>
        <w:br w:type="page"/>
      </w:r>
    </w:p>
    <w:bookmarkStart w:id="119" w:name="_Ref13080194"/>
    <w:bookmarkStart w:id="120" w:name="_Toc13087157"/>
    <w:bookmarkStart w:id="121" w:name="_Toc13157243"/>
    <w:p w14:paraId="4E7F4F10" w14:textId="6F8F0C3F" w:rsidR="00752270" w:rsidRDefault="00752270" w:rsidP="00752270">
      <w:pPr>
        <w:pStyle w:val="Heading3"/>
      </w:pPr>
      <w:r>
        <w:rPr>
          <w:noProof/>
          <w:lang w:eastAsia="en-GB"/>
        </w:rPr>
        <w:lastRenderedPageBreak/>
        <mc:AlternateContent>
          <mc:Choice Requires="wps">
            <w:drawing>
              <wp:anchor distT="45720" distB="45720" distL="114300" distR="114300" simplePos="0" relativeHeight="251872256" behindDoc="0" locked="0" layoutInCell="1" allowOverlap="1" wp14:anchorId="0FF36E29" wp14:editId="0D74675B">
                <wp:simplePos x="0" y="0"/>
                <wp:positionH relativeFrom="margin">
                  <wp:align>right</wp:align>
                </wp:positionH>
                <wp:positionV relativeFrom="paragraph">
                  <wp:posOffset>333292</wp:posOffset>
                </wp:positionV>
                <wp:extent cx="5716905" cy="1404620"/>
                <wp:effectExtent l="0" t="0" r="17145" b="273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DABA71E" w14:textId="728589EC" w:rsidR="00D52BA4" w:rsidRPr="00752270" w:rsidRDefault="00D52BA4" w:rsidP="00752270">
                            <w:r>
                              <w:rPr>
                                <w:rStyle w:val="normaltextrun"/>
                                <w:rFonts w:ascii="Calibri" w:hAnsi="Calibri" w:cs="Calibri"/>
                                <w:b/>
                                <w:bCs/>
                                <w:color w:val="000000"/>
                              </w:rPr>
                              <w:t xml:space="preserve">CP1 Question: </w:t>
                            </w:r>
                            <w:r w:rsidRPr="00752270">
                              <w:rPr>
                                <w:rStyle w:val="normaltextrun"/>
                                <w:rFonts w:ascii="Calibri" w:hAnsi="Calibri" w:cs="Calibri"/>
                                <w:bCs/>
                                <w:color w:val="000000"/>
                              </w:rPr>
                              <w:t>Should the DSB explore adopting the ISO 27018 standard as its framework for addressing data breach risks on Personally Identifiable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F36E29" id="_x0000_s1073" type="#_x0000_t202" style="position:absolute;left:0;text-align:left;margin-left:398.95pt;margin-top:26.25pt;width:450.15pt;height:110.6pt;z-index:251872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">
                <v:textbox style="mso-fit-shape-to-text:t">
                  <w:txbxContent>
                    <w:p w14:paraId="4DABA71E" w14:textId="728589EC" w:rsidR="00D52BA4" w:rsidRPr="00752270" w:rsidRDefault="00D52BA4" w:rsidP="00752270">
                      <w:r>
                        <w:rPr>
                          <w:rStyle w:val="normaltextrun"/>
                          <w:rFonts w:ascii="Calibri" w:hAnsi="Calibri" w:cs="Calibri"/>
                          <w:b/>
                          <w:bCs/>
                          <w:color w:val="000000"/>
                        </w:rPr>
                        <w:t xml:space="preserve">CP1 Question: </w:t>
                      </w:r>
                      <w:r w:rsidRPr="00752270">
                        <w:rPr>
                          <w:rStyle w:val="normaltextrun"/>
                          <w:rFonts w:ascii="Calibri" w:hAnsi="Calibri" w:cs="Calibri"/>
                          <w:bCs/>
                          <w:color w:val="000000"/>
                        </w:rPr>
                        <w:t>Should the DSB explore adopting the ISO 27018 standard as its framework for addressing data breach risks on Personally Identifiable Information?</w:t>
                      </w:r>
                    </w:p>
                  </w:txbxContent>
                </v:textbox>
                <w10:wrap type="square" anchorx="margin"/>
              </v:shape>
            </w:pict>
          </mc:Fallback>
        </mc:AlternateContent>
      </w:r>
      <w:r>
        <w:t>Q5.4 –</w:t>
      </w:r>
      <w:r w:rsidR="00C66FB6">
        <w:t xml:space="preserve"> </w:t>
      </w:r>
      <w:r w:rsidR="00C66FB6" w:rsidRPr="00C66FB6">
        <w:t xml:space="preserve">ISO 27018 </w:t>
      </w:r>
      <w:r w:rsidR="00C66FB6">
        <w:t>ADOPTION FOR PII BREACH RISK</w:t>
      </w:r>
      <w:bookmarkEnd w:id="119"/>
      <w:bookmarkEnd w:id="120"/>
      <w:bookmarkEnd w:id="121"/>
    </w:p>
    <w:p w14:paraId="05090251" w14:textId="6138CC52" w:rsidR="00752270" w:rsidRDefault="00752270" w:rsidP="00752270">
      <w:pPr>
        <w:rPr>
          <w:u w:val="single"/>
        </w:rPr>
      </w:pPr>
      <w:r>
        <w:rPr>
          <w:u w:val="single"/>
        </w:rPr>
        <w:t>Industry Responses</w:t>
      </w:r>
    </w:p>
    <w:p w14:paraId="2597D83C" w14:textId="77777777" w:rsidR="00C66FB6" w:rsidRDefault="00C66FB6" w:rsidP="00C66FB6">
      <w:pPr>
        <w:spacing w:before="120" w:after="240" w:line="276" w:lineRule="auto"/>
      </w:pPr>
      <w:r>
        <w:t xml:space="preserve">The responses received to the question posed in the first consultation are set out below.  </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C66FB6" w:rsidRPr="00223259" w14:paraId="6A5D42E9" w14:textId="77777777" w:rsidTr="00C66FB6">
        <w:trPr>
          <w:trHeight w:val="288"/>
        </w:trPr>
        <w:tc>
          <w:tcPr>
            <w:tcW w:w="2127" w:type="dxa"/>
            <w:vMerge w:val="restart"/>
            <w:shd w:val="clear" w:color="auto" w:fill="auto"/>
            <w:noWrap/>
            <w:vAlign w:val="center"/>
            <w:hideMark/>
          </w:tcPr>
          <w:p w14:paraId="4D4F3B54" w14:textId="77777777" w:rsidR="00C66FB6" w:rsidRPr="00223259" w:rsidRDefault="00C66FB6" w:rsidP="00C66FB6">
            <w:pPr>
              <w:spacing w:after="0" w:line="276"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73A3F4EE" w14:textId="77777777" w:rsidR="00C66FB6" w:rsidRPr="00223259" w:rsidRDefault="00C66FB6" w:rsidP="00C66FB6">
            <w:pPr>
              <w:spacing w:after="0" w:line="276" w:lineRule="auto"/>
              <w:jc w:val="center"/>
              <w:rPr>
                <w:rFonts w:ascii="Calibri" w:eastAsia="Times New Roman" w:hAnsi="Calibri" w:cs="Calibri"/>
                <w:b/>
                <w:bCs/>
                <w:color w:val="000000"/>
                <w:sz w:val="21"/>
                <w:szCs w:val="21"/>
                <w:lang w:eastAsia="en-GB"/>
              </w:rPr>
            </w:pPr>
            <w:r w:rsidRPr="00223259">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73F8527B" w14:textId="77777777" w:rsidR="00C66FB6" w:rsidRPr="00223259" w:rsidRDefault="00C66FB6" w:rsidP="00C66FB6">
            <w:pPr>
              <w:spacing w:after="0" w:line="276" w:lineRule="auto"/>
              <w:jc w:val="center"/>
              <w:rPr>
                <w:rFonts w:ascii="Calibri" w:eastAsia="Times New Roman" w:hAnsi="Calibri" w:cs="Calibri"/>
                <w:b/>
                <w:bCs/>
                <w:color w:val="000000"/>
                <w:sz w:val="21"/>
                <w:szCs w:val="21"/>
                <w:lang w:eastAsia="en-GB"/>
              </w:rPr>
            </w:pPr>
            <w:r w:rsidRPr="00223259">
              <w:rPr>
                <w:rFonts w:ascii="Calibri" w:eastAsia="Times New Roman" w:hAnsi="Calibri" w:cs="Calibri"/>
                <w:b/>
                <w:bCs/>
                <w:color w:val="000000"/>
                <w:sz w:val="21"/>
                <w:szCs w:val="21"/>
                <w:lang w:eastAsia="en-GB"/>
              </w:rPr>
              <w:t>No</w:t>
            </w:r>
          </w:p>
        </w:tc>
      </w:tr>
      <w:tr w:rsidR="00C66FB6" w:rsidRPr="00223259" w14:paraId="1872E273" w14:textId="77777777" w:rsidTr="00C66FB6">
        <w:trPr>
          <w:trHeight w:val="288"/>
        </w:trPr>
        <w:tc>
          <w:tcPr>
            <w:tcW w:w="2127" w:type="dxa"/>
            <w:vMerge/>
            <w:vAlign w:val="center"/>
            <w:hideMark/>
          </w:tcPr>
          <w:p w14:paraId="16DCDF9B" w14:textId="77777777" w:rsidR="00C66FB6" w:rsidRPr="00223259" w:rsidRDefault="00C66FB6" w:rsidP="00C66FB6">
            <w:pPr>
              <w:spacing w:after="0" w:line="276" w:lineRule="auto"/>
              <w:rPr>
                <w:rFonts w:ascii="Times New Roman" w:eastAsia="Times New Roman" w:hAnsi="Times New Roman" w:cs="Times New Roman"/>
                <w:sz w:val="24"/>
                <w:szCs w:val="24"/>
                <w:lang w:eastAsia="en-GB"/>
              </w:rPr>
            </w:pPr>
          </w:p>
        </w:tc>
        <w:tc>
          <w:tcPr>
            <w:tcW w:w="289" w:type="dxa"/>
            <w:shd w:val="clear" w:color="000000" w:fill="FFEB84"/>
            <w:noWrap/>
            <w:vAlign w:val="center"/>
            <w:hideMark/>
          </w:tcPr>
          <w:p w14:paraId="327AF38F" w14:textId="77777777" w:rsidR="00C66FB6" w:rsidRPr="00223259" w:rsidRDefault="00C66FB6" w:rsidP="00C66FB6">
            <w:pPr>
              <w:spacing w:after="0" w:line="276" w:lineRule="auto"/>
              <w:jc w:val="center"/>
              <w:rPr>
                <w:rFonts w:ascii="Calibri" w:eastAsia="Times New Roman" w:hAnsi="Calibri" w:cs="Calibri"/>
                <w:b/>
                <w:bCs/>
                <w:color w:val="000000"/>
                <w:sz w:val="21"/>
                <w:szCs w:val="21"/>
                <w:lang w:eastAsia="en-GB"/>
              </w:rPr>
            </w:pPr>
            <w:r w:rsidRPr="00223259">
              <w:rPr>
                <w:rFonts w:ascii="Calibri" w:eastAsia="Times New Roman" w:hAnsi="Calibri" w:cs="Calibri"/>
                <w:b/>
                <w:bCs/>
                <w:color w:val="000000"/>
                <w:sz w:val="21"/>
                <w:szCs w:val="21"/>
                <w:lang w:eastAsia="en-GB"/>
              </w:rPr>
              <w:t>6</w:t>
            </w:r>
          </w:p>
        </w:tc>
        <w:tc>
          <w:tcPr>
            <w:tcW w:w="656" w:type="dxa"/>
            <w:shd w:val="clear" w:color="000000" w:fill="FFEB84"/>
            <w:noWrap/>
            <w:vAlign w:val="center"/>
            <w:hideMark/>
          </w:tcPr>
          <w:p w14:paraId="31DE7BE8" w14:textId="77777777" w:rsidR="00C66FB6" w:rsidRPr="00223259" w:rsidRDefault="00C66FB6" w:rsidP="00C66FB6">
            <w:pPr>
              <w:spacing w:after="0" w:line="276" w:lineRule="auto"/>
              <w:jc w:val="center"/>
              <w:rPr>
                <w:rFonts w:ascii="Calibri" w:eastAsia="Times New Roman" w:hAnsi="Calibri" w:cs="Calibri"/>
                <w:b/>
                <w:bCs/>
                <w:color w:val="000000"/>
                <w:sz w:val="21"/>
                <w:szCs w:val="21"/>
                <w:lang w:eastAsia="en-GB"/>
              </w:rPr>
            </w:pPr>
            <w:r w:rsidRPr="00223259">
              <w:rPr>
                <w:rFonts w:ascii="Calibri" w:eastAsia="Times New Roman" w:hAnsi="Calibri" w:cs="Calibri"/>
                <w:b/>
                <w:bCs/>
                <w:color w:val="000000"/>
                <w:sz w:val="21"/>
                <w:szCs w:val="21"/>
                <w:lang w:eastAsia="en-GB"/>
              </w:rPr>
              <w:t>6</w:t>
            </w:r>
          </w:p>
        </w:tc>
      </w:tr>
      <w:tr w:rsidR="00C66FB6" w:rsidRPr="00223259" w14:paraId="1462B595" w14:textId="77777777" w:rsidTr="00C66FB6">
        <w:trPr>
          <w:trHeight w:val="288"/>
        </w:trPr>
        <w:tc>
          <w:tcPr>
            <w:tcW w:w="2127" w:type="dxa"/>
            <w:shd w:val="clear" w:color="auto" w:fill="auto"/>
            <w:noWrap/>
            <w:vAlign w:val="center"/>
            <w:hideMark/>
          </w:tcPr>
          <w:p w14:paraId="0A6626A1" w14:textId="77777777" w:rsidR="00C66FB6" w:rsidRPr="00223259" w:rsidRDefault="00C66FB6" w:rsidP="00C66FB6">
            <w:pPr>
              <w:spacing w:after="0" w:line="276" w:lineRule="auto"/>
              <w:jc w:val="right"/>
              <w:rPr>
                <w:rFonts w:ascii="Calibri" w:eastAsia="Times New Roman" w:hAnsi="Calibri" w:cs="Calibri"/>
                <w:color w:val="000000"/>
                <w:sz w:val="21"/>
                <w:szCs w:val="21"/>
                <w:lang w:eastAsia="en-GB"/>
              </w:rPr>
            </w:pPr>
            <w:r w:rsidRPr="00223259">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0BE4A198" w14:textId="77777777" w:rsidR="00C66FB6" w:rsidRPr="00223259" w:rsidRDefault="00C66FB6" w:rsidP="00C66FB6">
            <w:pPr>
              <w:spacing w:after="0" w:line="276" w:lineRule="auto"/>
              <w:jc w:val="center"/>
              <w:rPr>
                <w:rFonts w:ascii="Calibri" w:eastAsia="Times New Roman" w:hAnsi="Calibri" w:cs="Calibri"/>
                <w:color w:val="FFFFFF"/>
                <w:sz w:val="21"/>
                <w:szCs w:val="21"/>
                <w:lang w:eastAsia="en-GB"/>
              </w:rPr>
            </w:pPr>
            <w:r w:rsidRPr="001663C8">
              <w:rPr>
                <w:rFonts w:ascii="Calibri" w:eastAsia="Times New Roman" w:hAnsi="Calibri" w:cs="Calibri"/>
                <w:color w:val="FFFFFF" w:themeColor="background1"/>
                <w:sz w:val="21"/>
                <w:szCs w:val="21"/>
                <w:lang w:eastAsia="en-GB"/>
              </w:rPr>
              <w:t>0</w:t>
            </w:r>
          </w:p>
        </w:tc>
        <w:tc>
          <w:tcPr>
            <w:tcW w:w="656" w:type="dxa"/>
            <w:shd w:val="clear" w:color="auto" w:fill="auto"/>
            <w:noWrap/>
            <w:vAlign w:val="center"/>
            <w:hideMark/>
          </w:tcPr>
          <w:p w14:paraId="5D17F30C" w14:textId="77777777" w:rsidR="00C66FB6" w:rsidRPr="00223259" w:rsidRDefault="00C66FB6" w:rsidP="00C66FB6">
            <w:pPr>
              <w:spacing w:after="0" w:line="276" w:lineRule="auto"/>
              <w:jc w:val="center"/>
              <w:rPr>
                <w:rFonts w:ascii="Calibri" w:eastAsia="Times New Roman" w:hAnsi="Calibri" w:cs="Calibri"/>
                <w:color w:val="000000"/>
                <w:sz w:val="21"/>
                <w:szCs w:val="21"/>
                <w:lang w:eastAsia="en-GB"/>
              </w:rPr>
            </w:pPr>
            <w:r w:rsidRPr="00223259">
              <w:rPr>
                <w:rFonts w:ascii="Calibri" w:eastAsia="Times New Roman" w:hAnsi="Calibri" w:cs="Calibri"/>
                <w:color w:val="000000"/>
                <w:sz w:val="21"/>
                <w:szCs w:val="21"/>
                <w:lang w:eastAsia="en-GB"/>
              </w:rPr>
              <w:t>1</w:t>
            </w:r>
          </w:p>
        </w:tc>
      </w:tr>
      <w:tr w:rsidR="00C66FB6" w:rsidRPr="00223259" w14:paraId="35E61124" w14:textId="77777777" w:rsidTr="00C66FB6">
        <w:trPr>
          <w:trHeight w:val="288"/>
        </w:trPr>
        <w:tc>
          <w:tcPr>
            <w:tcW w:w="2127" w:type="dxa"/>
            <w:shd w:val="clear" w:color="auto" w:fill="auto"/>
            <w:noWrap/>
            <w:vAlign w:val="center"/>
            <w:hideMark/>
          </w:tcPr>
          <w:p w14:paraId="29DCDC03" w14:textId="77777777" w:rsidR="00C66FB6" w:rsidRPr="00223259" w:rsidRDefault="00C66FB6" w:rsidP="00C66FB6">
            <w:pPr>
              <w:spacing w:after="0" w:line="276" w:lineRule="auto"/>
              <w:jc w:val="right"/>
              <w:rPr>
                <w:rFonts w:ascii="Calibri" w:eastAsia="Times New Roman" w:hAnsi="Calibri" w:cs="Calibri"/>
                <w:color w:val="000000"/>
                <w:sz w:val="21"/>
                <w:szCs w:val="21"/>
                <w:lang w:eastAsia="en-GB"/>
              </w:rPr>
            </w:pPr>
            <w:r w:rsidRPr="00223259">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18F1327D" w14:textId="77777777" w:rsidR="00C66FB6" w:rsidRPr="00223259" w:rsidRDefault="00C66FB6" w:rsidP="00C66FB6">
            <w:pPr>
              <w:spacing w:after="0" w:line="276" w:lineRule="auto"/>
              <w:jc w:val="center"/>
              <w:rPr>
                <w:rFonts w:ascii="Calibri" w:eastAsia="Times New Roman" w:hAnsi="Calibri" w:cs="Calibri"/>
                <w:color w:val="000000"/>
                <w:sz w:val="21"/>
                <w:szCs w:val="21"/>
                <w:lang w:eastAsia="en-GB"/>
              </w:rPr>
            </w:pPr>
            <w:r w:rsidRPr="00223259">
              <w:rPr>
                <w:rFonts w:ascii="Calibri" w:eastAsia="Times New Roman" w:hAnsi="Calibri" w:cs="Calibri"/>
                <w:color w:val="000000"/>
                <w:sz w:val="21"/>
                <w:szCs w:val="21"/>
                <w:lang w:eastAsia="en-GB"/>
              </w:rPr>
              <w:t>6</w:t>
            </w:r>
          </w:p>
        </w:tc>
        <w:tc>
          <w:tcPr>
            <w:tcW w:w="656" w:type="dxa"/>
            <w:shd w:val="clear" w:color="auto" w:fill="auto"/>
            <w:noWrap/>
            <w:vAlign w:val="center"/>
            <w:hideMark/>
          </w:tcPr>
          <w:p w14:paraId="782A9F40" w14:textId="77777777" w:rsidR="00C66FB6" w:rsidRPr="00223259" w:rsidRDefault="00C66FB6" w:rsidP="00C66FB6">
            <w:pPr>
              <w:spacing w:after="0" w:line="276" w:lineRule="auto"/>
              <w:jc w:val="center"/>
              <w:rPr>
                <w:rFonts w:ascii="Calibri" w:eastAsia="Times New Roman" w:hAnsi="Calibri" w:cs="Calibri"/>
                <w:color w:val="000000"/>
                <w:sz w:val="21"/>
                <w:szCs w:val="21"/>
                <w:lang w:eastAsia="en-GB"/>
              </w:rPr>
            </w:pPr>
            <w:r w:rsidRPr="00223259">
              <w:rPr>
                <w:rFonts w:ascii="Calibri" w:eastAsia="Times New Roman" w:hAnsi="Calibri" w:cs="Calibri"/>
                <w:color w:val="000000"/>
                <w:sz w:val="21"/>
                <w:szCs w:val="21"/>
                <w:lang w:eastAsia="en-GB"/>
              </w:rPr>
              <w:t>5</w:t>
            </w:r>
          </w:p>
        </w:tc>
      </w:tr>
    </w:tbl>
    <w:p w14:paraId="1D5178F9" w14:textId="77777777" w:rsidR="00C66FB6" w:rsidRDefault="00C66FB6" w:rsidP="00C66FB6">
      <w:pPr>
        <w:spacing w:before="240" w:after="120" w:line="276" w:lineRule="auto"/>
      </w:pPr>
      <w:r>
        <w:t xml:space="preserve">There was mixed feedback on whether the DSB should explore adoption of ISO 27018 for addressing PII data breach risks. </w:t>
      </w:r>
    </w:p>
    <w:p w14:paraId="0A8687EC" w14:textId="77777777" w:rsidR="00C66FB6" w:rsidRDefault="00C66FB6" w:rsidP="00C66FB6">
      <w:pPr>
        <w:rPr>
          <w:u w:val="single"/>
        </w:rPr>
      </w:pPr>
      <w:r>
        <w:rPr>
          <w:u w:val="single"/>
        </w:rPr>
        <w:t>Analysis of Responses</w:t>
      </w:r>
    </w:p>
    <w:p w14:paraId="562C6147" w14:textId="0E03BEBE" w:rsidR="00C66FB6" w:rsidRDefault="00C66FB6" w:rsidP="00C66FB6">
      <w:pPr>
        <w:spacing w:before="240" w:after="120" w:line="276" w:lineRule="auto"/>
      </w:pPr>
      <w:r>
        <w:t>The consultation responses were reviewed at the 18 June TAC meeting, and there was general consensus that the minor amount of PII data stored by the DSB did not provide sufficient value to continue with exploration of ISO 27018 adoption.</w:t>
      </w:r>
    </w:p>
    <w:p w14:paraId="2BFCC7DA" w14:textId="1B8BD0A3" w:rsidR="00C66FB6" w:rsidRDefault="00C66FB6" w:rsidP="00C66FB6">
      <w:pPr>
        <w:spacing w:before="240" w:after="120" w:line="276" w:lineRule="auto"/>
        <w:rPr>
          <w:b/>
          <w:bCs/>
          <w:u w:val="single"/>
        </w:rPr>
      </w:pPr>
      <w:r>
        <w:rPr>
          <w:u w:val="single"/>
        </w:rPr>
        <w:t>DSB Proposed Next Steps</w:t>
      </w:r>
    </w:p>
    <w:p w14:paraId="7F9CBA67" w14:textId="5DCFB9E8" w:rsidR="00C66FB6" w:rsidRDefault="00C66FB6" w:rsidP="00C66FB6">
      <w:pPr>
        <w:spacing w:before="240" w:after="120" w:line="276" w:lineRule="auto"/>
      </w:pPr>
      <w:r>
        <w:t>N</w:t>
      </w:r>
      <w:r w:rsidRPr="00D72A08">
        <w:t>o further action to be taken</w:t>
      </w:r>
      <w:r>
        <w:t>.</w:t>
      </w:r>
    </w:p>
    <w:p w14:paraId="4363DAE4" w14:textId="7CE24096" w:rsidR="009451B1" w:rsidRDefault="00752270" w:rsidP="00A50AEA">
      <w:r w:rsidRPr="00BB1525">
        <w:rPr>
          <w:noProof/>
          <w:lang w:eastAsia="en-GB"/>
        </w:rPr>
        <mc:AlternateContent>
          <mc:Choice Requires="wps">
            <w:drawing>
              <wp:anchor distT="45720" distB="45720" distL="114300" distR="114300" simplePos="0" relativeHeight="251879424" behindDoc="1" locked="0" layoutInCell="1" allowOverlap="1" wp14:anchorId="0F8E4AD7" wp14:editId="45ADCB93">
                <wp:simplePos x="0" y="0"/>
                <wp:positionH relativeFrom="margin">
                  <wp:align>right</wp:align>
                </wp:positionH>
                <wp:positionV relativeFrom="paragraph">
                  <wp:posOffset>220</wp:posOffset>
                </wp:positionV>
                <wp:extent cx="5716905" cy="1404620"/>
                <wp:effectExtent l="0" t="0" r="17145" b="27305"/>
                <wp:wrapTight wrapText="bothSides">
                  <wp:wrapPolygon edited="0">
                    <wp:start x="0" y="0"/>
                    <wp:lineTo x="0" y="21940"/>
                    <wp:lineTo x="21593" y="21940"/>
                    <wp:lineTo x="21593"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53DEEC97" w14:textId="618FD47E" w:rsidR="00D52BA4" w:rsidRDefault="00D52BA4" w:rsidP="00752270">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66FB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take no further action</w:t>
                            </w:r>
                            <w:r w:rsidRPr="00C66FB6">
                              <w:rPr>
                                <w:rStyle w:val="eop"/>
                                <w:rFonts w:ascii="Calibri" w:eastAsiaTheme="majorEastAsia" w:hAnsi="Calibri" w:cs="Calibr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8E4AD7" id="Text Box 52" o:spid="_x0000_s1074" type="#_x0000_t202" style="position:absolute;margin-left:398.95pt;margin-top:0;width:450.15pt;height:110.6pt;z-index:-251437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">
                <v:textbox style="mso-fit-shape-to-text:t">
                  <w:txbxContent>
                    <w:p w14:paraId="53DEEC97" w14:textId="618FD47E" w:rsidR="00D52BA4" w:rsidRDefault="00D52BA4" w:rsidP="00752270">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24</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66FB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take no further action</w:t>
                      </w:r>
                      <w:r w:rsidRPr="00C66FB6">
                        <w:rPr>
                          <w:rStyle w:val="eop"/>
                          <w:rFonts w:ascii="Calibri" w:eastAsiaTheme="majorEastAsia" w:hAnsi="Calibri" w:cs="Calibri"/>
                          <w:sz w:val="22"/>
                          <w:szCs w:val="22"/>
                        </w:rPr>
                        <w:t>?</w:t>
                      </w:r>
                    </w:p>
                  </w:txbxContent>
                </v:textbox>
                <w10:wrap type="tight" anchorx="margin"/>
              </v:shape>
            </w:pict>
          </mc:Fallback>
        </mc:AlternateContent>
      </w:r>
    </w:p>
    <w:bookmarkStart w:id="122" w:name="_Ref13077789"/>
    <w:bookmarkStart w:id="123" w:name="_Toc13087158"/>
    <w:bookmarkStart w:id="124" w:name="_Toc13157244"/>
    <w:p w14:paraId="3450A595" w14:textId="73354E59" w:rsidR="00D33229" w:rsidRDefault="00A50AEA" w:rsidP="00D33229">
      <w:pPr>
        <w:pStyle w:val="Heading3"/>
      </w:pPr>
      <w:r>
        <w:rPr>
          <w:noProof/>
          <w:lang w:eastAsia="en-GB"/>
        </w:rPr>
        <w:lastRenderedPageBreak/>
        <mc:AlternateContent>
          <mc:Choice Requires="wps">
            <w:drawing>
              <wp:anchor distT="45720" distB="45720" distL="114300" distR="114300" simplePos="0" relativeHeight="251841536" behindDoc="0" locked="0" layoutInCell="1" allowOverlap="1" wp14:anchorId="226DD513" wp14:editId="3767A51D">
                <wp:simplePos x="0" y="0"/>
                <wp:positionH relativeFrom="margin">
                  <wp:align>right</wp:align>
                </wp:positionH>
                <wp:positionV relativeFrom="paragraph">
                  <wp:posOffset>333292</wp:posOffset>
                </wp:positionV>
                <wp:extent cx="5716905" cy="1404620"/>
                <wp:effectExtent l="0" t="0" r="17145" b="273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251D563"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C66FB6">
                              <w:rPr>
                                <w:rStyle w:val="normaltextrun"/>
                                <w:rFonts w:ascii="Calibri" w:hAnsi="Calibri" w:cs="Calibri"/>
                                <w:color w:val="000000"/>
                                <w:sz w:val="22"/>
                                <w:szCs w:val="22"/>
                              </w:rPr>
                              <w:t xml:space="preserve">In late 2017, the Financial Stability Board (FSB) provided a stock take of publicly released cybersecurity regulations and guidance11. Whilst such guidance is not directly applicable to the DSB, the DSB does undertake periodic reviews of regulatory guidance on cybersecurity given the in-direct impact as a vendor to regulated entities. </w:t>
                            </w:r>
                          </w:p>
                          <w:p w14:paraId="0873FB6A"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C66FB6">
                              <w:rPr>
                                <w:rStyle w:val="normaltextrun"/>
                                <w:rFonts w:ascii="Calibri" w:hAnsi="Calibri" w:cs="Calibri"/>
                                <w:color w:val="000000"/>
                                <w:sz w:val="22"/>
                                <w:szCs w:val="22"/>
                              </w:rPr>
                              <w:t xml:space="preserve">The FSB paper described the creation of the role of Chief Information Security Office within 38 of the 56 regulatory schemes reviewed (page 22), with 34 of the schemes also addressing the independence of the cybersecurity function from other business lines.  </w:t>
                            </w:r>
                          </w:p>
                          <w:p w14:paraId="6480D56E"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C66FB6">
                              <w:rPr>
                                <w:rStyle w:val="normaltextrun"/>
                                <w:rFonts w:ascii="Calibri" w:hAnsi="Calibri" w:cs="Calibri"/>
                                <w:color w:val="000000"/>
                                <w:sz w:val="22"/>
                                <w:szCs w:val="22"/>
                              </w:rPr>
                              <w:t xml:space="preserve">The DSB’s cybersecurity function is currently integrated within the core management team in order to achieve a lean management team. </w:t>
                            </w:r>
                          </w:p>
                          <w:p w14:paraId="69C69948" w14:textId="6EF3EF74" w:rsidR="00D52BA4" w:rsidRDefault="00D52BA4" w:rsidP="00C66FB6">
                            <w:pPr>
                              <w:pStyle w:val="paragraph"/>
                              <w:spacing w:before="240" w:beforeAutospacing="0" w:after="120" w:afterAutospacing="0" w:line="276" w:lineRule="auto"/>
                              <w:textAlignment w:val="baseline"/>
                            </w:pPr>
                            <w:r>
                              <w:rPr>
                                <w:rStyle w:val="normaltextrun"/>
                                <w:rFonts w:ascii="Calibri" w:hAnsi="Calibri" w:cs="Calibri"/>
                                <w:b/>
                                <w:bCs/>
                                <w:color w:val="000000"/>
                              </w:rPr>
                              <w:t>CP1 Question:</w:t>
                            </w:r>
                            <w:r w:rsidRPr="00C66FB6">
                              <w:rPr>
                                <w:rStyle w:val="normaltextrun"/>
                                <w:rFonts w:ascii="Calibri" w:hAnsi="Calibri" w:cs="Calibri"/>
                                <w:color w:val="000000"/>
                                <w:sz w:val="22"/>
                                <w:szCs w:val="22"/>
                              </w:rPr>
                              <w:t xml:space="preserve"> Should the DSB explore adding a new role of Chief Information Security Officer to its management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6DD513" id="_x0000_s1075" type="#_x0000_t202" style="position:absolute;left:0;text-align:left;margin-left:398.95pt;margin-top:26.25pt;width:450.15pt;height:110.6pt;z-index:2518415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BKA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">
                <v:textbox style="mso-fit-shape-to-text:t">
                  <w:txbxContent>
                    <w:p w14:paraId="3251D563"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BB1525">
                        <w:rPr>
                          <w:rStyle w:val="normaltextrun"/>
                          <w:rFonts w:ascii="Calibri" w:hAnsi="Calibri" w:cs="Calibri"/>
                          <w:b/>
                          <w:color w:val="000000"/>
                          <w:sz w:val="22"/>
                          <w:szCs w:val="22"/>
                        </w:rPr>
                        <w:t>CP1 Description:</w:t>
                      </w:r>
                      <w:r>
                        <w:rPr>
                          <w:rStyle w:val="normaltextrun"/>
                          <w:rFonts w:ascii="Calibri" w:hAnsi="Calibri" w:cs="Calibri"/>
                          <w:color w:val="000000"/>
                          <w:sz w:val="22"/>
                          <w:szCs w:val="22"/>
                        </w:rPr>
                        <w:t xml:space="preserve"> </w:t>
                      </w:r>
                      <w:r w:rsidRPr="00C66FB6">
                        <w:rPr>
                          <w:rStyle w:val="normaltextrun"/>
                          <w:rFonts w:ascii="Calibri" w:hAnsi="Calibri" w:cs="Calibri"/>
                          <w:color w:val="000000"/>
                          <w:sz w:val="22"/>
                          <w:szCs w:val="22"/>
                        </w:rPr>
                        <w:t xml:space="preserve">In late 2017, the Financial Stability Board (FSB) provided a stock take of publicly released cybersecurity regulations and guidance11. Whilst such guidance is not directly applicable to the DSB, the DSB does undertake periodic reviews of regulatory guidance on cybersecurity given the in-direct impact as a vendor to regulated entities. </w:t>
                      </w:r>
                    </w:p>
                    <w:p w14:paraId="0873FB6A"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C66FB6">
                        <w:rPr>
                          <w:rStyle w:val="normaltextrun"/>
                          <w:rFonts w:ascii="Calibri" w:hAnsi="Calibri" w:cs="Calibri"/>
                          <w:color w:val="000000"/>
                          <w:sz w:val="22"/>
                          <w:szCs w:val="22"/>
                        </w:rPr>
                        <w:t xml:space="preserve">The FSB paper described the creation of the role of Chief Information Security Office within 38 of the 56 regulatory schemes reviewed (page 22), with 34 of the schemes also addressing the independence of the cybersecurity function from other business lines.  </w:t>
                      </w:r>
                    </w:p>
                    <w:p w14:paraId="6480D56E" w14:textId="77777777" w:rsidR="00D52BA4" w:rsidRPr="00C66FB6" w:rsidRDefault="00D52BA4" w:rsidP="00C66FB6">
                      <w:pPr>
                        <w:pStyle w:val="paragraph"/>
                        <w:spacing w:before="240" w:after="120" w:line="276" w:lineRule="auto"/>
                        <w:textAlignment w:val="baseline"/>
                        <w:rPr>
                          <w:rStyle w:val="normaltextrun"/>
                          <w:rFonts w:ascii="Calibri" w:hAnsi="Calibri" w:cs="Calibri"/>
                          <w:color w:val="000000"/>
                          <w:sz w:val="22"/>
                          <w:szCs w:val="22"/>
                        </w:rPr>
                      </w:pPr>
                      <w:r w:rsidRPr="00C66FB6">
                        <w:rPr>
                          <w:rStyle w:val="normaltextrun"/>
                          <w:rFonts w:ascii="Calibri" w:hAnsi="Calibri" w:cs="Calibri"/>
                          <w:color w:val="000000"/>
                          <w:sz w:val="22"/>
                          <w:szCs w:val="22"/>
                        </w:rPr>
                        <w:t xml:space="preserve">The DSB’s cybersecurity function is currently integrated within the core management team in order to achieve a lean management team. </w:t>
                      </w:r>
                    </w:p>
                    <w:p w14:paraId="69C69948" w14:textId="6EF3EF74" w:rsidR="00D52BA4" w:rsidRDefault="00D52BA4" w:rsidP="00C66FB6">
                      <w:pPr>
                        <w:pStyle w:val="paragraph"/>
                        <w:spacing w:before="240" w:beforeAutospacing="0" w:after="120" w:afterAutospacing="0" w:line="276" w:lineRule="auto"/>
                        <w:textAlignment w:val="baseline"/>
                      </w:pPr>
                      <w:r>
                        <w:rPr>
                          <w:rStyle w:val="normaltextrun"/>
                          <w:rFonts w:ascii="Calibri" w:hAnsi="Calibri" w:cs="Calibri"/>
                          <w:b/>
                          <w:bCs/>
                          <w:color w:val="000000"/>
                        </w:rPr>
                        <w:t>CP1 Question:</w:t>
                      </w:r>
                      <w:r w:rsidRPr="00C66FB6">
                        <w:rPr>
                          <w:rStyle w:val="normaltextrun"/>
                          <w:rFonts w:ascii="Calibri" w:hAnsi="Calibri" w:cs="Calibri"/>
                          <w:color w:val="000000"/>
                          <w:sz w:val="22"/>
                          <w:szCs w:val="22"/>
                        </w:rPr>
                        <w:t xml:space="preserve"> Should the DSB explore adding a new role of Chief Information Security Officer to its management team?</w:t>
                      </w:r>
                    </w:p>
                  </w:txbxContent>
                </v:textbox>
                <w10:wrap type="square" anchorx="margin"/>
              </v:shape>
            </w:pict>
          </mc:Fallback>
        </mc:AlternateContent>
      </w:r>
      <w:r w:rsidR="00D33229">
        <w:t>Q</w:t>
      </w:r>
      <w:r w:rsidR="00C66FB6">
        <w:t>5</w:t>
      </w:r>
      <w:r w:rsidR="00D33229">
        <w:t>.</w:t>
      </w:r>
      <w:r w:rsidR="00C66FB6">
        <w:t>5</w:t>
      </w:r>
      <w:r w:rsidR="00D33229">
        <w:t xml:space="preserve"> – </w:t>
      </w:r>
      <w:r w:rsidR="00C66FB6">
        <w:t>ON-BOARDING OF CISO</w:t>
      </w:r>
      <w:bookmarkEnd w:id="122"/>
      <w:bookmarkEnd w:id="123"/>
      <w:bookmarkEnd w:id="124"/>
    </w:p>
    <w:p w14:paraId="14ED202B" w14:textId="5154C2D7" w:rsidR="00D33229" w:rsidRDefault="00D33229" w:rsidP="001663C8">
      <w:pPr>
        <w:spacing w:before="240"/>
        <w:rPr>
          <w:u w:val="single"/>
        </w:rPr>
      </w:pPr>
      <w:r>
        <w:rPr>
          <w:u w:val="single"/>
        </w:rPr>
        <w:t>Industry Responses</w:t>
      </w:r>
    </w:p>
    <w:p w14:paraId="1186B4DF" w14:textId="77777777" w:rsidR="00C66FB6" w:rsidRPr="00BB1C2A" w:rsidRDefault="00C66FB6" w:rsidP="00C66FB6">
      <w:pPr>
        <w:spacing w:after="240" w:line="276" w:lineRule="auto"/>
      </w:pPr>
      <w:r>
        <w:t>The responses received to the question posed in the first consultation are set out below</w:t>
      </w:r>
    </w:p>
    <w:tbl>
      <w:tblPr>
        <w:tblW w:w="3072" w:type="dxa"/>
        <w:tblBorders>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127"/>
        <w:gridCol w:w="515"/>
        <w:gridCol w:w="656"/>
      </w:tblGrid>
      <w:tr w:rsidR="00C66FB6" w:rsidRPr="009B003A" w14:paraId="51DDFEBA" w14:textId="77777777" w:rsidTr="00C66FB6">
        <w:trPr>
          <w:trHeight w:val="288"/>
        </w:trPr>
        <w:tc>
          <w:tcPr>
            <w:tcW w:w="2127" w:type="dxa"/>
            <w:vMerge w:val="restart"/>
            <w:shd w:val="clear" w:color="auto" w:fill="auto"/>
            <w:noWrap/>
            <w:vAlign w:val="center"/>
            <w:hideMark/>
          </w:tcPr>
          <w:p w14:paraId="77D58841" w14:textId="77777777" w:rsidR="00C66FB6" w:rsidRPr="009B003A" w:rsidRDefault="00C66FB6" w:rsidP="00C47967">
            <w:pPr>
              <w:spacing w:after="0" w:line="240" w:lineRule="auto"/>
              <w:rPr>
                <w:rFonts w:ascii="Times New Roman" w:eastAsia="Times New Roman" w:hAnsi="Times New Roman" w:cs="Times New Roman"/>
                <w:sz w:val="24"/>
                <w:szCs w:val="24"/>
                <w:lang w:eastAsia="en-GB"/>
              </w:rPr>
            </w:pPr>
          </w:p>
        </w:tc>
        <w:tc>
          <w:tcPr>
            <w:tcW w:w="289" w:type="dxa"/>
            <w:shd w:val="clear" w:color="auto" w:fill="auto"/>
            <w:noWrap/>
            <w:vAlign w:val="center"/>
            <w:hideMark/>
          </w:tcPr>
          <w:p w14:paraId="55D91D1F" w14:textId="77777777" w:rsidR="00C66FB6" w:rsidRPr="009B003A" w:rsidRDefault="00C66FB6" w:rsidP="00C47967">
            <w:pPr>
              <w:spacing w:after="0" w:line="240" w:lineRule="auto"/>
              <w:jc w:val="center"/>
              <w:rPr>
                <w:rFonts w:ascii="Calibri" w:eastAsia="Times New Roman" w:hAnsi="Calibri" w:cs="Calibri"/>
                <w:b/>
                <w:bCs/>
                <w:color w:val="000000"/>
                <w:sz w:val="21"/>
                <w:szCs w:val="21"/>
                <w:lang w:eastAsia="en-GB"/>
              </w:rPr>
            </w:pPr>
            <w:r w:rsidRPr="009B003A">
              <w:rPr>
                <w:rFonts w:ascii="Calibri" w:eastAsia="Times New Roman" w:hAnsi="Calibri" w:cs="Calibri"/>
                <w:b/>
                <w:bCs/>
                <w:color w:val="000000"/>
                <w:sz w:val="21"/>
                <w:szCs w:val="21"/>
                <w:lang w:eastAsia="en-GB"/>
              </w:rPr>
              <w:t>Yes</w:t>
            </w:r>
          </w:p>
        </w:tc>
        <w:tc>
          <w:tcPr>
            <w:tcW w:w="656" w:type="dxa"/>
            <w:shd w:val="clear" w:color="auto" w:fill="auto"/>
            <w:noWrap/>
            <w:vAlign w:val="center"/>
            <w:hideMark/>
          </w:tcPr>
          <w:p w14:paraId="053F23AE" w14:textId="77777777" w:rsidR="00C66FB6" w:rsidRPr="009B003A" w:rsidRDefault="00C66FB6" w:rsidP="00C47967">
            <w:pPr>
              <w:spacing w:after="0" w:line="240" w:lineRule="auto"/>
              <w:jc w:val="center"/>
              <w:rPr>
                <w:rFonts w:ascii="Calibri" w:eastAsia="Times New Roman" w:hAnsi="Calibri" w:cs="Calibri"/>
                <w:b/>
                <w:bCs/>
                <w:color w:val="000000"/>
                <w:sz w:val="21"/>
                <w:szCs w:val="21"/>
                <w:lang w:eastAsia="en-GB"/>
              </w:rPr>
            </w:pPr>
            <w:r w:rsidRPr="009B003A">
              <w:rPr>
                <w:rFonts w:ascii="Calibri" w:eastAsia="Times New Roman" w:hAnsi="Calibri" w:cs="Calibri"/>
                <w:b/>
                <w:bCs/>
                <w:color w:val="000000"/>
                <w:sz w:val="21"/>
                <w:szCs w:val="21"/>
                <w:lang w:eastAsia="en-GB"/>
              </w:rPr>
              <w:t>No</w:t>
            </w:r>
          </w:p>
        </w:tc>
      </w:tr>
      <w:tr w:rsidR="00C66FB6" w:rsidRPr="009B003A" w14:paraId="6D48A852" w14:textId="77777777" w:rsidTr="00C66FB6">
        <w:trPr>
          <w:trHeight w:val="288"/>
        </w:trPr>
        <w:tc>
          <w:tcPr>
            <w:tcW w:w="2127" w:type="dxa"/>
            <w:vMerge/>
            <w:vAlign w:val="center"/>
            <w:hideMark/>
          </w:tcPr>
          <w:p w14:paraId="4C81F9B7" w14:textId="77777777" w:rsidR="00C66FB6" w:rsidRPr="009B003A" w:rsidRDefault="00C66FB6" w:rsidP="00C47967">
            <w:pPr>
              <w:spacing w:after="0" w:line="240" w:lineRule="auto"/>
              <w:rPr>
                <w:rFonts w:ascii="Times New Roman" w:eastAsia="Times New Roman" w:hAnsi="Times New Roman" w:cs="Times New Roman"/>
                <w:sz w:val="24"/>
                <w:szCs w:val="24"/>
                <w:lang w:eastAsia="en-GB"/>
              </w:rPr>
            </w:pPr>
          </w:p>
        </w:tc>
        <w:tc>
          <w:tcPr>
            <w:tcW w:w="289" w:type="dxa"/>
            <w:shd w:val="clear" w:color="000000" w:fill="8ACA7E"/>
            <w:noWrap/>
            <w:vAlign w:val="center"/>
            <w:hideMark/>
          </w:tcPr>
          <w:p w14:paraId="3155BAA5" w14:textId="77777777" w:rsidR="00C66FB6" w:rsidRPr="009B003A" w:rsidRDefault="00C66FB6" w:rsidP="00C47967">
            <w:pPr>
              <w:spacing w:after="0" w:line="240" w:lineRule="auto"/>
              <w:jc w:val="center"/>
              <w:rPr>
                <w:rFonts w:ascii="Calibri" w:eastAsia="Times New Roman" w:hAnsi="Calibri" w:cs="Calibri"/>
                <w:b/>
                <w:bCs/>
                <w:color w:val="000000"/>
                <w:sz w:val="21"/>
                <w:szCs w:val="21"/>
                <w:lang w:eastAsia="en-GB"/>
              </w:rPr>
            </w:pPr>
            <w:r w:rsidRPr="009B003A">
              <w:rPr>
                <w:rFonts w:ascii="Calibri" w:eastAsia="Times New Roman" w:hAnsi="Calibri" w:cs="Calibri"/>
                <w:b/>
                <w:bCs/>
                <w:color w:val="000000"/>
                <w:sz w:val="21"/>
                <w:szCs w:val="21"/>
                <w:lang w:eastAsia="en-GB"/>
              </w:rPr>
              <w:t>8</w:t>
            </w:r>
          </w:p>
        </w:tc>
        <w:tc>
          <w:tcPr>
            <w:tcW w:w="656" w:type="dxa"/>
            <w:shd w:val="clear" w:color="000000" w:fill="FA9D75"/>
            <w:noWrap/>
            <w:vAlign w:val="center"/>
            <w:hideMark/>
          </w:tcPr>
          <w:p w14:paraId="40E62BA0" w14:textId="77777777" w:rsidR="00C66FB6" w:rsidRPr="009B003A" w:rsidRDefault="00C66FB6" w:rsidP="00C47967">
            <w:pPr>
              <w:spacing w:after="0" w:line="240" w:lineRule="auto"/>
              <w:jc w:val="center"/>
              <w:rPr>
                <w:rFonts w:ascii="Calibri" w:eastAsia="Times New Roman" w:hAnsi="Calibri" w:cs="Calibri"/>
                <w:b/>
                <w:bCs/>
                <w:color w:val="000000"/>
                <w:sz w:val="21"/>
                <w:szCs w:val="21"/>
                <w:lang w:eastAsia="en-GB"/>
              </w:rPr>
            </w:pPr>
            <w:r w:rsidRPr="009B003A">
              <w:rPr>
                <w:rFonts w:ascii="Calibri" w:eastAsia="Times New Roman" w:hAnsi="Calibri" w:cs="Calibri"/>
                <w:b/>
                <w:bCs/>
                <w:color w:val="000000"/>
                <w:sz w:val="21"/>
                <w:szCs w:val="21"/>
                <w:lang w:eastAsia="en-GB"/>
              </w:rPr>
              <w:t>2</w:t>
            </w:r>
          </w:p>
        </w:tc>
      </w:tr>
      <w:tr w:rsidR="00C66FB6" w:rsidRPr="009B003A" w14:paraId="761EC2DC" w14:textId="77777777" w:rsidTr="001663C8">
        <w:trPr>
          <w:trHeight w:val="288"/>
        </w:trPr>
        <w:tc>
          <w:tcPr>
            <w:tcW w:w="2127" w:type="dxa"/>
            <w:shd w:val="clear" w:color="auto" w:fill="auto"/>
            <w:noWrap/>
            <w:vAlign w:val="center"/>
            <w:hideMark/>
          </w:tcPr>
          <w:p w14:paraId="176E3DC3" w14:textId="77777777" w:rsidR="00C66FB6" w:rsidRPr="009B003A" w:rsidRDefault="00C66FB6" w:rsidP="00C47967">
            <w:pPr>
              <w:spacing w:after="0" w:line="240" w:lineRule="auto"/>
              <w:jc w:val="right"/>
              <w:rPr>
                <w:rFonts w:ascii="Calibri" w:eastAsia="Times New Roman" w:hAnsi="Calibri" w:cs="Calibri"/>
                <w:color w:val="000000"/>
                <w:sz w:val="21"/>
                <w:szCs w:val="21"/>
                <w:lang w:eastAsia="en-GB"/>
              </w:rPr>
            </w:pPr>
            <w:r w:rsidRPr="009B003A">
              <w:rPr>
                <w:rFonts w:ascii="Calibri" w:eastAsia="Times New Roman" w:hAnsi="Calibri" w:cs="Calibri"/>
                <w:color w:val="000000"/>
                <w:sz w:val="21"/>
                <w:szCs w:val="21"/>
                <w:lang w:eastAsia="en-GB"/>
              </w:rPr>
              <w:t>Trade Associations</w:t>
            </w:r>
          </w:p>
        </w:tc>
        <w:tc>
          <w:tcPr>
            <w:tcW w:w="289" w:type="dxa"/>
            <w:shd w:val="clear" w:color="auto" w:fill="auto"/>
            <w:noWrap/>
            <w:vAlign w:val="center"/>
            <w:hideMark/>
          </w:tcPr>
          <w:p w14:paraId="7B4431EF" w14:textId="77777777" w:rsidR="00C66FB6" w:rsidRPr="009B003A" w:rsidRDefault="00C66FB6" w:rsidP="00C47967">
            <w:pPr>
              <w:spacing w:after="0" w:line="240" w:lineRule="auto"/>
              <w:jc w:val="center"/>
              <w:rPr>
                <w:rFonts w:ascii="Calibri" w:eastAsia="Times New Roman" w:hAnsi="Calibri" w:cs="Calibri"/>
                <w:color w:val="FFFFFF"/>
                <w:sz w:val="21"/>
                <w:szCs w:val="21"/>
                <w:lang w:eastAsia="en-GB"/>
              </w:rPr>
            </w:pPr>
            <w:r w:rsidRPr="001663C8">
              <w:rPr>
                <w:rFonts w:ascii="Calibri" w:eastAsia="Times New Roman" w:hAnsi="Calibri" w:cs="Calibri"/>
                <w:color w:val="FFFFFF" w:themeColor="background1"/>
                <w:sz w:val="21"/>
                <w:szCs w:val="21"/>
                <w:lang w:eastAsia="en-GB"/>
              </w:rPr>
              <w:t>0</w:t>
            </w:r>
          </w:p>
        </w:tc>
        <w:tc>
          <w:tcPr>
            <w:tcW w:w="656" w:type="dxa"/>
            <w:shd w:val="clear" w:color="auto" w:fill="auto"/>
            <w:noWrap/>
            <w:vAlign w:val="center"/>
            <w:hideMark/>
          </w:tcPr>
          <w:p w14:paraId="023CA4B3" w14:textId="77777777" w:rsidR="00C66FB6" w:rsidRPr="009B003A" w:rsidRDefault="00C66FB6" w:rsidP="00C47967">
            <w:pPr>
              <w:spacing w:after="0" w:line="240" w:lineRule="auto"/>
              <w:jc w:val="center"/>
              <w:rPr>
                <w:rFonts w:ascii="Calibri" w:eastAsia="Times New Roman" w:hAnsi="Calibri" w:cs="Calibri"/>
                <w:color w:val="000000"/>
                <w:sz w:val="21"/>
                <w:szCs w:val="21"/>
                <w:lang w:eastAsia="en-GB"/>
              </w:rPr>
            </w:pPr>
            <w:r w:rsidRPr="009B003A">
              <w:rPr>
                <w:rFonts w:ascii="Calibri" w:eastAsia="Times New Roman" w:hAnsi="Calibri" w:cs="Calibri"/>
                <w:color w:val="000000"/>
                <w:sz w:val="21"/>
                <w:szCs w:val="21"/>
                <w:lang w:eastAsia="en-GB"/>
              </w:rPr>
              <w:t>1</w:t>
            </w:r>
          </w:p>
        </w:tc>
      </w:tr>
      <w:tr w:rsidR="00C66FB6" w:rsidRPr="009B003A" w14:paraId="0B06BFEA" w14:textId="77777777" w:rsidTr="00C66FB6">
        <w:trPr>
          <w:trHeight w:val="288"/>
        </w:trPr>
        <w:tc>
          <w:tcPr>
            <w:tcW w:w="2127" w:type="dxa"/>
            <w:shd w:val="clear" w:color="auto" w:fill="auto"/>
            <w:noWrap/>
            <w:vAlign w:val="center"/>
            <w:hideMark/>
          </w:tcPr>
          <w:p w14:paraId="15265B6D" w14:textId="77777777" w:rsidR="00C66FB6" w:rsidRPr="009B003A" w:rsidRDefault="00C66FB6" w:rsidP="00C47967">
            <w:pPr>
              <w:spacing w:after="0" w:line="240" w:lineRule="auto"/>
              <w:jc w:val="right"/>
              <w:rPr>
                <w:rFonts w:ascii="Calibri" w:eastAsia="Times New Roman" w:hAnsi="Calibri" w:cs="Calibri"/>
                <w:color w:val="000000"/>
                <w:sz w:val="21"/>
                <w:szCs w:val="21"/>
                <w:lang w:eastAsia="en-GB"/>
              </w:rPr>
            </w:pPr>
            <w:r w:rsidRPr="009B003A">
              <w:rPr>
                <w:rFonts w:ascii="Calibri" w:eastAsia="Times New Roman" w:hAnsi="Calibri" w:cs="Calibri"/>
                <w:color w:val="000000"/>
                <w:sz w:val="21"/>
                <w:szCs w:val="21"/>
                <w:lang w:eastAsia="en-GB"/>
              </w:rPr>
              <w:t>DSB Users</w:t>
            </w:r>
          </w:p>
        </w:tc>
        <w:tc>
          <w:tcPr>
            <w:tcW w:w="289" w:type="dxa"/>
            <w:shd w:val="clear" w:color="auto" w:fill="auto"/>
            <w:noWrap/>
            <w:vAlign w:val="center"/>
            <w:hideMark/>
          </w:tcPr>
          <w:p w14:paraId="7B8E0E7B" w14:textId="77777777" w:rsidR="00C66FB6" w:rsidRPr="009B003A" w:rsidRDefault="00C66FB6" w:rsidP="00C47967">
            <w:pPr>
              <w:spacing w:after="0" w:line="240" w:lineRule="auto"/>
              <w:jc w:val="center"/>
              <w:rPr>
                <w:rFonts w:ascii="Calibri" w:eastAsia="Times New Roman" w:hAnsi="Calibri" w:cs="Calibri"/>
                <w:color w:val="000000"/>
                <w:sz w:val="21"/>
                <w:szCs w:val="21"/>
                <w:lang w:eastAsia="en-GB"/>
              </w:rPr>
            </w:pPr>
            <w:r w:rsidRPr="009B003A">
              <w:rPr>
                <w:rFonts w:ascii="Calibri" w:eastAsia="Times New Roman" w:hAnsi="Calibri" w:cs="Calibri"/>
                <w:color w:val="000000"/>
                <w:sz w:val="21"/>
                <w:szCs w:val="21"/>
                <w:lang w:eastAsia="en-GB"/>
              </w:rPr>
              <w:t>8</w:t>
            </w:r>
          </w:p>
        </w:tc>
        <w:tc>
          <w:tcPr>
            <w:tcW w:w="656" w:type="dxa"/>
            <w:shd w:val="clear" w:color="auto" w:fill="auto"/>
            <w:noWrap/>
            <w:vAlign w:val="center"/>
            <w:hideMark/>
          </w:tcPr>
          <w:p w14:paraId="13CE7322" w14:textId="77777777" w:rsidR="00C66FB6" w:rsidRPr="009B003A" w:rsidRDefault="00C66FB6" w:rsidP="00C47967">
            <w:pPr>
              <w:spacing w:after="0" w:line="240" w:lineRule="auto"/>
              <w:jc w:val="center"/>
              <w:rPr>
                <w:rFonts w:ascii="Calibri" w:eastAsia="Times New Roman" w:hAnsi="Calibri" w:cs="Calibri"/>
                <w:color w:val="000000"/>
                <w:sz w:val="21"/>
                <w:szCs w:val="21"/>
                <w:lang w:eastAsia="en-GB"/>
              </w:rPr>
            </w:pPr>
            <w:r w:rsidRPr="009B003A">
              <w:rPr>
                <w:rFonts w:ascii="Calibri" w:eastAsia="Times New Roman" w:hAnsi="Calibri" w:cs="Calibri"/>
                <w:color w:val="000000"/>
                <w:sz w:val="21"/>
                <w:szCs w:val="21"/>
                <w:lang w:eastAsia="en-GB"/>
              </w:rPr>
              <w:t>1</w:t>
            </w:r>
          </w:p>
        </w:tc>
      </w:tr>
    </w:tbl>
    <w:p w14:paraId="1CFD1EB8" w14:textId="3CDBA1DF" w:rsidR="00C66FB6" w:rsidRDefault="00C66FB6" w:rsidP="00C66FB6">
      <w:pPr>
        <w:spacing w:before="240" w:after="120" w:line="276" w:lineRule="auto"/>
      </w:pPr>
      <w:r>
        <w:t xml:space="preserve">The majority of consultation responses were positive. One trade association primarily representing trading venues did not see any use case given the </w:t>
      </w:r>
      <w:r w:rsidR="00C30863" w:rsidRPr="008D66F6">
        <w:t xml:space="preserve">public and transparent nature of the data </w:t>
      </w:r>
      <w:r>
        <w:t xml:space="preserve">held by the DSB. </w:t>
      </w:r>
      <w:r w:rsidR="00147298">
        <w:t>Another trading venue wanted to understand whether the headcount could be absorbed within the existing management structure. All o</w:t>
      </w:r>
      <w:r>
        <w:t>ther responde</w:t>
      </w:r>
      <w:r w:rsidR="00901D97">
        <w:t xml:space="preserve">nts </w:t>
      </w:r>
      <w:r>
        <w:t>were generally supportive, with comments ranging from the potential for the role to be part-time, to the need for additional technology risk support team members to support in answering users</w:t>
      </w:r>
      <w:r w:rsidR="00A07975">
        <w:t>’</w:t>
      </w:r>
      <w:r>
        <w:t xml:space="preserve"> cyber-security risk questionnaires.</w:t>
      </w:r>
    </w:p>
    <w:p w14:paraId="1F13CDB7" w14:textId="77777777" w:rsidR="00C66FB6" w:rsidRDefault="00C66FB6" w:rsidP="001663C8">
      <w:pPr>
        <w:spacing w:before="240"/>
        <w:rPr>
          <w:u w:val="single"/>
        </w:rPr>
      </w:pPr>
      <w:r>
        <w:rPr>
          <w:u w:val="single"/>
        </w:rPr>
        <w:t>Analysis of Responses</w:t>
      </w:r>
    </w:p>
    <w:p w14:paraId="1066E83E" w14:textId="409C4050" w:rsidR="00147298" w:rsidRDefault="00147298" w:rsidP="00147298">
      <w:r>
        <w:t>Taking the two articulated concerns in turn:</w:t>
      </w:r>
    </w:p>
    <w:p w14:paraId="43B7D03B" w14:textId="40CCD2E3" w:rsidR="00147298" w:rsidRDefault="00147298" w:rsidP="00147298">
      <w:pPr>
        <w:pStyle w:val="ListParagraph"/>
        <w:numPr>
          <w:ilvl w:val="0"/>
          <w:numId w:val="51"/>
        </w:numPr>
        <w:spacing w:before="240" w:after="120" w:line="276" w:lineRule="auto"/>
        <w:rPr>
          <w:i/>
        </w:rPr>
      </w:pPr>
      <w:r w:rsidRPr="001663C8">
        <w:rPr>
          <w:i/>
        </w:rPr>
        <w:t>Relevance of CISO given the public and transparent nature of the DSB data</w:t>
      </w:r>
    </w:p>
    <w:p w14:paraId="455B3FD0" w14:textId="63BC3863" w:rsidR="00A714DD" w:rsidRDefault="00A714DD" w:rsidP="00147298">
      <w:pPr>
        <w:pStyle w:val="ListParagraph"/>
        <w:spacing w:before="240" w:after="120" w:line="276" w:lineRule="auto"/>
      </w:pPr>
      <w:r>
        <w:t>The DSB views the data breach element of cyber-security as only one element of the CISO role.</w:t>
      </w:r>
    </w:p>
    <w:p w14:paraId="0CC31E1E" w14:textId="5A57BC97" w:rsidR="00147298" w:rsidRDefault="00147298" w:rsidP="001663C8">
      <w:pPr>
        <w:pStyle w:val="ListParagraph"/>
        <w:spacing w:before="240" w:after="120" w:line="276" w:lineRule="auto"/>
        <w:contextualSpacing w:val="0"/>
      </w:pPr>
      <w:r>
        <w:t>The DSB views the role of the CISO as the protection of the system as a whole</w:t>
      </w:r>
      <w:r w:rsidR="00A07975">
        <w:t>, with data protection being just one element</w:t>
      </w:r>
      <w:r>
        <w:t xml:space="preserve">. </w:t>
      </w:r>
      <w:r w:rsidR="00A07975">
        <w:t>T</w:t>
      </w:r>
      <w:r w:rsidR="00714633">
        <w:t xml:space="preserve">he CISO role will be </w:t>
      </w:r>
      <w:r>
        <w:t xml:space="preserve">to </w:t>
      </w:r>
      <w:r w:rsidR="00EE6D02">
        <w:t xml:space="preserve">provide an independent management view focused on </w:t>
      </w:r>
      <w:r w:rsidR="004F7683">
        <w:t xml:space="preserve">ensuring </w:t>
      </w:r>
      <w:r>
        <w:t xml:space="preserve">the DSB has robust defences and processes to </w:t>
      </w:r>
      <w:r>
        <w:lastRenderedPageBreak/>
        <w:t>prevent cyber-attacks that could impair the functioning of what is viewed by industry and regulators as a critical market infrastructure.</w:t>
      </w:r>
      <w:r w:rsidR="00714633">
        <w:t xml:space="preserve"> </w:t>
      </w:r>
    </w:p>
    <w:p w14:paraId="54B7D7D5" w14:textId="483E1E5E" w:rsidR="00A714DD" w:rsidRDefault="00A714DD" w:rsidP="00A714DD">
      <w:pPr>
        <w:pStyle w:val="ListParagraph"/>
        <w:numPr>
          <w:ilvl w:val="0"/>
          <w:numId w:val="51"/>
        </w:numPr>
        <w:spacing w:before="240" w:after="120" w:line="276" w:lineRule="auto"/>
        <w:rPr>
          <w:i/>
        </w:rPr>
      </w:pPr>
      <w:r w:rsidRPr="001663C8">
        <w:rPr>
          <w:i/>
        </w:rPr>
        <w:t>Rationale for additional role of CISO as incremental headcount</w:t>
      </w:r>
    </w:p>
    <w:p w14:paraId="121FDFBB" w14:textId="70C54CD9" w:rsidR="00A714DD" w:rsidRPr="001663C8" w:rsidRDefault="00A714DD" w:rsidP="001663C8">
      <w:pPr>
        <w:pStyle w:val="ListParagraph"/>
        <w:spacing w:before="240" w:after="120" w:line="276" w:lineRule="auto"/>
        <w:rPr>
          <w:i/>
        </w:rPr>
      </w:pPr>
      <w:r>
        <w:t xml:space="preserve">The DSB proposes to follow regulatory best practice guidelines on the </w:t>
      </w:r>
      <w:r w:rsidR="002A5675">
        <w:t xml:space="preserve">independence of the </w:t>
      </w:r>
      <w:r>
        <w:t>role of the CISO</w:t>
      </w:r>
      <w:r w:rsidR="002A5675">
        <w:t xml:space="preserve"> from the core management function</w:t>
      </w:r>
      <w:r>
        <w:t xml:space="preserve">, as articulated </w:t>
      </w:r>
      <w:r w:rsidR="002A5675">
        <w:t xml:space="preserve">on page 22 of </w:t>
      </w:r>
      <w:r>
        <w:t>the FSB’s cybersecurity regulations and guidance</w:t>
      </w:r>
      <w:r w:rsidR="002A5675">
        <w:rPr>
          <w:rStyle w:val="FootnoteReference"/>
        </w:rPr>
        <w:footnoteReference w:id="20"/>
      </w:r>
      <w:r w:rsidR="002A5675">
        <w:t>. Currently the DSB integrates the cyber-security role within the same management team.</w:t>
      </w:r>
    </w:p>
    <w:p w14:paraId="359040DA" w14:textId="2914E354" w:rsidR="00C66FB6" w:rsidRDefault="00C66FB6" w:rsidP="00C66FB6">
      <w:pPr>
        <w:spacing w:before="240" w:after="120" w:line="276" w:lineRule="auto"/>
      </w:pPr>
      <w:r>
        <w:t>The consultation responses were reviewed at the 18 June TAC meeting and there was general consensus for the DSB to explore the creation of a</w:t>
      </w:r>
      <w:r w:rsidR="002A5675">
        <w:t>n independent</w:t>
      </w:r>
      <w:r>
        <w:t xml:space="preserve"> CISO role along with an IT security engineer to provide </w:t>
      </w:r>
      <w:r w:rsidR="004E6E96">
        <w:t xml:space="preserve">analysis and </w:t>
      </w:r>
      <w:r>
        <w:t>implementation capability to the CISO.</w:t>
      </w:r>
    </w:p>
    <w:p w14:paraId="7A14B406" w14:textId="72EAD5E7" w:rsidR="00C66FB6" w:rsidRDefault="00C66FB6" w:rsidP="00C66FB6">
      <w:pPr>
        <w:spacing w:before="240" w:after="120" w:line="276" w:lineRule="auto"/>
        <w:rPr>
          <w:bCs/>
        </w:rPr>
      </w:pPr>
      <w:r>
        <w:rPr>
          <w:bCs/>
        </w:rPr>
        <w:t>The</w:t>
      </w:r>
      <w:r w:rsidR="002A5675">
        <w:rPr>
          <w:bCs/>
        </w:rPr>
        <w:t xml:space="preserve"> TAC </w:t>
      </w:r>
      <w:r>
        <w:rPr>
          <w:bCs/>
        </w:rPr>
        <w:t xml:space="preserve">consensus </w:t>
      </w:r>
      <w:r w:rsidR="002A5675">
        <w:rPr>
          <w:bCs/>
        </w:rPr>
        <w:t xml:space="preserve">was </w:t>
      </w:r>
      <w:r>
        <w:rPr>
          <w:bCs/>
        </w:rPr>
        <w:t xml:space="preserve">that the CISO role was unlikely to be full-time and </w:t>
      </w:r>
      <w:r w:rsidR="004E6E96">
        <w:rPr>
          <w:bCs/>
        </w:rPr>
        <w:t xml:space="preserve">settled on </w:t>
      </w:r>
      <w:r>
        <w:rPr>
          <w:bCs/>
        </w:rPr>
        <w:t xml:space="preserve">a proposal of 0.4 FTE CISO + 1 FTE IT security engineer, to be separate from the core management function, as per accepted best practice. </w:t>
      </w:r>
    </w:p>
    <w:p w14:paraId="074B394D" w14:textId="4277E471" w:rsidR="00C66FB6" w:rsidRDefault="00C66FB6" w:rsidP="00C66FB6">
      <w:pPr>
        <w:spacing w:before="240" w:after="120" w:line="276" w:lineRule="auto"/>
      </w:pPr>
      <w:r>
        <w:rPr>
          <w:u w:val="single"/>
        </w:rPr>
        <w:t>DSB Proposed Next Steps</w:t>
      </w:r>
    </w:p>
    <w:p w14:paraId="6BE200D5" w14:textId="77777777" w:rsidR="00C66FB6" w:rsidRDefault="00C66FB6" w:rsidP="00C66FB6">
      <w:pPr>
        <w:spacing w:before="240" w:after="120" w:line="276" w:lineRule="auto"/>
      </w:pPr>
      <w:r>
        <w:t xml:space="preserve">The DSB proposes to on-board the 1.4 FTE staff as described above, on the premise that this skill-mix staff will also allow the DSB to provide more timely and more tailored feedback to DSB users when they request the DSB to complete their technology cyber-security risk questionnaires. Currently such requests are unable to be serviced adequately due to lack of dedicated resource, with the DSB relying on occasional updates to its generic cyber-security FAQ document.  </w:t>
      </w:r>
    </w:p>
    <w:p w14:paraId="5846DE9E" w14:textId="77777777" w:rsidR="00C66FB6" w:rsidRPr="001663C8" w:rsidRDefault="00C66FB6" w:rsidP="00C66FB6">
      <w:pPr>
        <w:pStyle w:val="paragraph"/>
        <w:numPr>
          <w:ilvl w:val="0"/>
          <w:numId w:val="8"/>
        </w:numPr>
        <w:spacing w:line="276" w:lineRule="auto"/>
        <w:textAlignment w:val="baseline"/>
        <w:rPr>
          <w:rFonts w:ascii="Calibri" w:hAnsi="Calibri" w:cs="Calibri"/>
          <w:sz w:val="22"/>
          <w:szCs w:val="22"/>
        </w:rPr>
      </w:pPr>
      <w:r w:rsidRPr="001663C8">
        <w:rPr>
          <w:rFonts w:ascii="Calibri" w:hAnsi="Calibri" w:cs="Calibri"/>
          <w:sz w:val="22"/>
          <w:szCs w:val="22"/>
        </w:rPr>
        <w:t>Governance: TAC to be involved in matters relating to CISO role, remit and prioritization of activities</w:t>
      </w:r>
    </w:p>
    <w:p w14:paraId="31D73B53" w14:textId="77777777" w:rsidR="00C66FB6" w:rsidRPr="001663C8" w:rsidRDefault="00C66FB6" w:rsidP="00C66FB6">
      <w:pPr>
        <w:pStyle w:val="paragraph"/>
        <w:numPr>
          <w:ilvl w:val="0"/>
          <w:numId w:val="8"/>
        </w:numPr>
        <w:spacing w:line="276" w:lineRule="auto"/>
        <w:textAlignment w:val="baseline"/>
        <w:rPr>
          <w:rFonts w:ascii="Calibri" w:hAnsi="Calibri" w:cs="Calibri"/>
          <w:sz w:val="22"/>
          <w:szCs w:val="22"/>
        </w:rPr>
      </w:pPr>
      <w:r w:rsidRPr="001663C8">
        <w:rPr>
          <w:rFonts w:ascii="Calibri" w:hAnsi="Calibri" w:cs="Calibri"/>
          <w:sz w:val="22"/>
          <w:szCs w:val="22"/>
        </w:rPr>
        <w:t>Costs:</w:t>
      </w:r>
    </w:p>
    <w:p w14:paraId="290BB685" w14:textId="77777777" w:rsidR="00C66FB6" w:rsidRPr="001663C8" w:rsidRDefault="00C66FB6" w:rsidP="00C66FB6">
      <w:pPr>
        <w:pStyle w:val="paragraph"/>
        <w:numPr>
          <w:ilvl w:val="1"/>
          <w:numId w:val="8"/>
        </w:numPr>
        <w:spacing w:line="276" w:lineRule="auto"/>
        <w:textAlignment w:val="baseline"/>
        <w:rPr>
          <w:rFonts w:ascii="Calibri" w:hAnsi="Calibri" w:cs="Calibri"/>
          <w:sz w:val="22"/>
          <w:szCs w:val="22"/>
        </w:rPr>
      </w:pPr>
      <w:r w:rsidRPr="001663C8">
        <w:rPr>
          <w:rFonts w:ascii="Calibri" w:hAnsi="Calibri" w:cs="Calibri"/>
          <w:sz w:val="22"/>
          <w:szCs w:val="22"/>
        </w:rPr>
        <w:t>Capex: Zero analysis and change cost</w:t>
      </w:r>
    </w:p>
    <w:p w14:paraId="4165DE37" w14:textId="67F85CE3" w:rsidR="00C66FB6" w:rsidRPr="001663C8" w:rsidRDefault="00C66FB6" w:rsidP="00C66FB6">
      <w:pPr>
        <w:pStyle w:val="paragraph"/>
        <w:numPr>
          <w:ilvl w:val="1"/>
          <w:numId w:val="8"/>
        </w:numPr>
        <w:spacing w:line="276" w:lineRule="auto"/>
        <w:textAlignment w:val="baseline"/>
        <w:rPr>
          <w:rFonts w:ascii="Calibri" w:hAnsi="Calibri" w:cs="Calibri"/>
          <w:sz w:val="22"/>
          <w:szCs w:val="22"/>
        </w:rPr>
      </w:pPr>
      <w:proofErr w:type="spellStart"/>
      <w:r w:rsidRPr="001663C8">
        <w:rPr>
          <w:rFonts w:ascii="Calibri" w:hAnsi="Calibri" w:cs="Calibri"/>
          <w:sz w:val="22"/>
          <w:szCs w:val="22"/>
        </w:rPr>
        <w:t>Opex</w:t>
      </w:r>
      <w:proofErr w:type="spellEnd"/>
      <w:r w:rsidRPr="001663C8">
        <w:rPr>
          <w:rFonts w:ascii="Calibri" w:hAnsi="Calibri" w:cs="Calibri"/>
          <w:sz w:val="22"/>
          <w:szCs w:val="22"/>
        </w:rPr>
        <w:t>: €290K annual run cost for salaries, office costs, IT and other administration support</w:t>
      </w:r>
    </w:p>
    <w:p w14:paraId="3E105F5C" w14:textId="361CF215" w:rsidR="003452C6" w:rsidRPr="00DA7FD4" w:rsidRDefault="001663C8" w:rsidP="003452C6">
      <w:pPr>
        <w:pStyle w:val="paragraph"/>
        <w:spacing w:line="276" w:lineRule="auto"/>
        <w:textAlignment w:val="baseline"/>
        <w:rPr>
          <w:rFonts w:ascii="Calibri" w:hAnsi="Calibri" w:cs="Calibri"/>
          <w:sz w:val="22"/>
          <w:szCs w:val="22"/>
        </w:rPr>
      </w:pPr>
      <w:r w:rsidRPr="00DA7FD4">
        <w:rPr>
          <w:rFonts w:ascii="Calibri" w:hAnsi="Calibri" w:cs="Calibri"/>
          <w:sz w:val="22"/>
          <w:szCs w:val="22"/>
        </w:rPr>
        <w:t>Impact on DSB total costs</w:t>
      </w:r>
      <w:r w:rsidR="003452C6" w:rsidRPr="00DA7FD4">
        <w:rPr>
          <w:rFonts w:ascii="Calibri" w:hAnsi="Calibri" w:cs="Calibri"/>
          <w:sz w:val="22"/>
          <w:szCs w:val="22"/>
        </w:rPr>
        <w:t>: €290K from 2020 onwards (&lt;3% increase in total costs)</w:t>
      </w:r>
      <w:r w:rsidR="0095265E" w:rsidRPr="00DA7FD4">
        <w:rPr>
          <w:rFonts w:ascii="Calibri" w:hAnsi="Calibri" w:cs="Calibri"/>
          <w:sz w:val="22"/>
          <w:szCs w:val="22"/>
        </w:rPr>
        <w:t>.</w:t>
      </w:r>
    </w:p>
    <w:p w14:paraId="7C0AABE9" w14:textId="3CE9B86F" w:rsidR="00C66FB6" w:rsidRPr="00DA7FD4" w:rsidRDefault="00C66FB6" w:rsidP="00C66FB6">
      <w:pPr>
        <w:pStyle w:val="paragraph"/>
        <w:spacing w:line="276" w:lineRule="auto"/>
        <w:textAlignment w:val="baseline"/>
        <w:rPr>
          <w:rFonts w:ascii="Calibri" w:hAnsi="Calibri" w:cs="Calibri"/>
          <w:sz w:val="22"/>
          <w:szCs w:val="22"/>
        </w:rPr>
      </w:pPr>
      <w:r w:rsidRPr="00DA7FD4">
        <w:rPr>
          <w:rFonts w:ascii="Calibri" w:hAnsi="Calibri" w:cs="Calibri"/>
          <w:sz w:val="22"/>
          <w:szCs w:val="22"/>
        </w:rPr>
        <w:t>The DSB will not progress where costs exceed the amounts set out in this document </w:t>
      </w:r>
    </w:p>
    <w:bookmarkEnd w:id="33"/>
    <w:p w14:paraId="461BE292" w14:textId="6D554D44" w:rsidR="000A0701" w:rsidRDefault="004B1F21">
      <w:pPr>
        <w:rPr>
          <w:rFonts w:asciiTheme="majorHAnsi" w:eastAsiaTheme="majorEastAsia" w:hAnsiTheme="majorHAnsi" w:cstheme="majorBidi"/>
          <w:b/>
          <w:color w:val="1F4D78" w:themeColor="accent1" w:themeShade="7F"/>
          <w:sz w:val="24"/>
          <w:szCs w:val="24"/>
        </w:rPr>
      </w:pPr>
      <w:r w:rsidRPr="004B1F21">
        <w:rPr>
          <w:noProof/>
          <w:lang w:eastAsia="en-GB"/>
        </w:rPr>
        <mc:AlternateContent>
          <mc:Choice Requires="wps">
            <w:drawing>
              <wp:anchor distT="45720" distB="45720" distL="114300" distR="114300" simplePos="0" relativeHeight="251847680" behindDoc="1" locked="0" layoutInCell="1" allowOverlap="1" wp14:anchorId="484890EF" wp14:editId="1E3613CB">
                <wp:simplePos x="0" y="0"/>
                <wp:positionH relativeFrom="margin">
                  <wp:posOffset>-2540</wp:posOffset>
                </wp:positionH>
                <wp:positionV relativeFrom="paragraph">
                  <wp:posOffset>380365</wp:posOffset>
                </wp:positionV>
                <wp:extent cx="5716905" cy="1404620"/>
                <wp:effectExtent l="0" t="0" r="17145" b="21590"/>
                <wp:wrapTight wrapText="bothSides">
                  <wp:wrapPolygon edited="0">
                    <wp:start x="0" y="0"/>
                    <wp:lineTo x="0" y="21676"/>
                    <wp:lineTo x="21593" y="21676"/>
                    <wp:lineTo x="21593"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4AB14FD2" w14:textId="65D7E06E" w:rsidR="00D52BA4" w:rsidRDefault="00D52BA4" w:rsidP="00D33229">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25</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66FB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on-board a part-time CISO with a full-time security engineer?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4890EF" id="Text Box 47" o:spid="_x0000_s1076" type="#_x0000_t202" style="position:absolute;margin-left:-.2pt;margin-top:29.95pt;width:450.15pt;height:110.6pt;z-index:-251468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">
                <v:textbox style="mso-fit-shape-to-text:t">
                  <w:txbxContent>
                    <w:p w14:paraId="4AB14FD2" w14:textId="65D7E06E" w:rsidR="00D52BA4" w:rsidRDefault="00D52BA4" w:rsidP="00D33229">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25</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C66FB6">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on-board a part-time CISO with a full-time security engineer?</w:t>
                      </w:r>
                    </w:p>
                  </w:txbxContent>
                </v:textbox>
                <w10:wrap type="tight" anchorx="margin"/>
              </v:shape>
            </w:pict>
          </mc:Fallback>
        </mc:AlternateContent>
      </w:r>
      <w:r w:rsidR="000A0701">
        <w:rPr>
          <w:b/>
        </w:rPr>
        <w:br w:type="page"/>
      </w:r>
    </w:p>
    <w:p w14:paraId="02D94C99" w14:textId="01F0AA6C" w:rsidR="004B6BF0" w:rsidRPr="001B5E20" w:rsidRDefault="001C3A5F" w:rsidP="00701CC6">
      <w:pPr>
        <w:pStyle w:val="Heading1"/>
        <w:spacing w:after="120" w:line="276" w:lineRule="auto"/>
        <w:ind w:hanging="431"/>
      </w:pPr>
      <w:bookmarkStart w:id="125" w:name="_Ref13043910"/>
      <w:bookmarkStart w:id="126" w:name="_Toc13087159"/>
      <w:bookmarkStart w:id="127" w:name="_Toc13157245"/>
      <w:bookmarkStart w:id="128" w:name="_Toc517783484"/>
      <w:r w:rsidRPr="001B5E20">
        <w:lastRenderedPageBreak/>
        <w:t>Update on User Fee Survey and Group Wide Agreement Forum</w:t>
      </w:r>
      <w:bookmarkEnd w:id="125"/>
      <w:bookmarkEnd w:id="126"/>
      <w:bookmarkEnd w:id="127"/>
      <w:r w:rsidRPr="001B5E20">
        <w:t xml:space="preserve"> </w:t>
      </w:r>
    </w:p>
    <w:p w14:paraId="3176CF9F" w14:textId="77777777" w:rsidR="007F59FA" w:rsidRDefault="007F59FA" w:rsidP="007F59FA">
      <w:pPr>
        <w:spacing w:after="120" w:line="276" w:lineRule="auto"/>
      </w:pPr>
      <w:r>
        <w:t xml:space="preserve">Commitments were made in the </w:t>
      </w:r>
      <w:hyperlink r:id="rId26" w:history="1">
        <w:r w:rsidRPr="00642ED1">
          <w:rPr>
            <w:rStyle w:val="Hyperlink"/>
          </w:rPr>
          <w:t>Final Consultation Report of 2018</w:t>
        </w:r>
      </w:hyperlink>
      <w:r>
        <w:rPr>
          <w:rStyle w:val="FootnoteReference"/>
        </w:rPr>
        <w:footnoteReference w:id="21"/>
      </w:r>
      <w:r>
        <w:t xml:space="preserve"> to -</w:t>
      </w:r>
    </w:p>
    <w:p w14:paraId="3607CD7F" w14:textId="77777777" w:rsidR="007F59FA" w:rsidRDefault="007F59FA" w:rsidP="007F59FA">
      <w:pPr>
        <w:pStyle w:val="ListParagraph"/>
        <w:numPr>
          <w:ilvl w:val="0"/>
          <w:numId w:val="43"/>
        </w:numPr>
        <w:spacing w:after="80" w:line="276" w:lineRule="auto"/>
        <w:contextualSpacing w:val="0"/>
      </w:pPr>
      <w:bookmarkStart w:id="129" w:name="_Ref517887412"/>
      <w:r w:rsidRPr="00644892">
        <w:t xml:space="preserve">Work with industry in 2019 to review and agree </w:t>
      </w:r>
      <w:r>
        <w:t xml:space="preserve">the </w:t>
      </w:r>
      <w:bookmarkStart w:id="130" w:name="_Hlk522217781"/>
      <w:r>
        <w:t xml:space="preserve">way forward  </w:t>
      </w:r>
    </w:p>
    <w:p w14:paraId="64634698" w14:textId="77777777" w:rsidR="007F59FA" w:rsidRDefault="007F59FA" w:rsidP="007F59FA">
      <w:pPr>
        <w:pStyle w:val="ListParagraph"/>
        <w:numPr>
          <w:ilvl w:val="1"/>
          <w:numId w:val="43"/>
        </w:numPr>
        <w:spacing w:after="80" w:line="276" w:lineRule="auto"/>
        <w:contextualSpacing w:val="0"/>
      </w:pPr>
      <w:r>
        <w:t>For determination of</w:t>
      </w:r>
      <w:r w:rsidRPr="00644892">
        <w:t xml:space="preserve"> a</w:t>
      </w:r>
      <w:r>
        <w:t xml:space="preserve">n appropriate fee </w:t>
      </w:r>
      <w:r w:rsidRPr="00644892">
        <w:t>model</w:t>
      </w:r>
      <w:bookmarkEnd w:id="130"/>
      <w:r>
        <w:t>, including timelines for the annual fee review cycle,</w:t>
      </w:r>
      <w:r w:rsidRPr="00644892">
        <w:t xml:space="preserve"> such that both simple and multi-fac</w:t>
      </w:r>
      <w:r>
        <w:t>e</w:t>
      </w:r>
      <w:r w:rsidRPr="00644892">
        <w:t>ted organizations could use a single model to predict expected fees</w:t>
      </w:r>
      <w:r>
        <w:t xml:space="preserve"> </w:t>
      </w:r>
    </w:p>
    <w:p w14:paraId="4F981DAB" w14:textId="77777777" w:rsidR="007F59FA" w:rsidRDefault="007F59FA" w:rsidP="007F59FA">
      <w:pPr>
        <w:pStyle w:val="ListParagraph"/>
        <w:numPr>
          <w:ilvl w:val="1"/>
          <w:numId w:val="43"/>
        </w:numPr>
        <w:spacing w:after="80" w:line="276" w:lineRule="auto"/>
        <w:contextualSpacing w:val="0"/>
      </w:pPr>
      <w:r>
        <w:t>To r</w:t>
      </w:r>
      <w:r w:rsidRPr="00644892">
        <w:t>eview the user agreement to allow for users to more easily paper with the DSB, such that a single agreement could be used across multiple user categories</w:t>
      </w:r>
    </w:p>
    <w:p w14:paraId="19B70AE8" w14:textId="77777777" w:rsidR="007F59FA" w:rsidRDefault="007F59FA" w:rsidP="007F59FA">
      <w:pPr>
        <w:pStyle w:val="ListParagraph"/>
        <w:numPr>
          <w:ilvl w:val="0"/>
          <w:numId w:val="43"/>
        </w:numPr>
        <w:spacing w:after="80" w:line="276" w:lineRule="auto"/>
        <w:contextualSpacing w:val="0"/>
      </w:pPr>
      <w:r>
        <w:t>Review alignment of the fee revision cycle with the industry budgetary processes in the course of 2019</w:t>
      </w:r>
      <w:bookmarkEnd w:id="129"/>
    </w:p>
    <w:p w14:paraId="1E2A1B55" w14:textId="77777777" w:rsidR="007F59FA" w:rsidRPr="00644892" w:rsidRDefault="007F59FA" w:rsidP="007F59FA">
      <w:pPr>
        <w:pStyle w:val="ListParagraph"/>
        <w:numPr>
          <w:ilvl w:val="0"/>
          <w:numId w:val="43"/>
        </w:numPr>
        <w:spacing w:after="240" w:line="276" w:lineRule="auto"/>
        <w:ind w:left="357" w:hanging="357"/>
        <w:contextualSpacing w:val="0"/>
      </w:pPr>
      <w:r>
        <w:t>P</w:t>
      </w:r>
      <w:r w:rsidRPr="00644892">
        <w:t xml:space="preserve">ublish </w:t>
      </w:r>
      <w:r>
        <w:t xml:space="preserve">timely </w:t>
      </w:r>
      <w:r w:rsidRPr="00644892">
        <w:t>audited financial accounts following the DSB’s first full year of operation</w:t>
      </w:r>
      <w:r>
        <w:t xml:space="preserve"> </w:t>
      </w:r>
    </w:p>
    <w:p w14:paraId="5067566F" w14:textId="18DE8F84" w:rsidR="007F59FA" w:rsidRDefault="007F59FA" w:rsidP="007F59FA">
      <w:pPr>
        <w:spacing w:after="0" w:line="276" w:lineRule="auto"/>
      </w:pPr>
      <w:r>
        <w:t>To honour the commitments made in 2018 the DSB approached the first two items in two parts; through an industry-wide User Fee Survey and also through direct outreach to users for establishment of a DSB Agreement Forum. With respect to the third item, the audit of the financial accounts for 2018 has been completed and was published on Companies House on 13 June 2019. The DSB Statutory Accounts and an accompanying narrative are also available on the DSB website</w:t>
      </w:r>
      <w:r>
        <w:rPr>
          <w:rStyle w:val="FootnoteReference"/>
        </w:rPr>
        <w:footnoteReference w:id="22"/>
      </w:r>
      <w:r>
        <w:t xml:space="preserve"> for 2017 and 2018.</w:t>
      </w:r>
    </w:p>
    <w:p w14:paraId="276BAFE6" w14:textId="77777777" w:rsidR="007F59FA" w:rsidRDefault="007F59FA" w:rsidP="007F59FA">
      <w:pPr>
        <w:spacing w:before="240" w:after="0" w:line="276" w:lineRule="auto"/>
      </w:pPr>
      <w:r>
        <w:t>It is important to note, as part of revisiting the fee model and user agreement, g</w:t>
      </w:r>
      <w:r w:rsidRPr="008E2A76">
        <w:t xml:space="preserve">iven the potential implications on the </w:t>
      </w:r>
      <w:r>
        <w:t xml:space="preserve">annual user </w:t>
      </w:r>
      <w:r w:rsidRPr="008E2A76">
        <w:t>fee calculation</w:t>
      </w:r>
      <w:r>
        <w:t xml:space="preserve"> and contract terms which are common amongst all users, the DSB has an obligation to ensure due consideration is placed on the values of fair and equitable treatment of the broad and varied OTC ISIN, CFI and FISN user community. </w:t>
      </w:r>
    </w:p>
    <w:p w14:paraId="6947E0A5" w14:textId="77777777" w:rsidR="007F59FA" w:rsidRDefault="007F59FA" w:rsidP="007F59FA">
      <w:pPr>
        <w:spacing w:before="240" w:after="0" w:line="276" w:lineRule="auto"/>
      </w:pPr>
      <w:r>
        <w:t>Ultimately, any amendment to the fee model including discounted fees for those users with multiple agreements means the revenue reduction will need to be recovered by the user base to ensure cost recovery of the service.  Therefore, representation and feedback is required</w:t>
      </w:r>
      <w:r w:rsidRPr="0057354F">
        <w:t xml:space="preserve"> </w:t>
      </w:r>
      <w:r>
        <w:t>across the broad spectrum of DSB uses, not just those with multiple agreements.</w:t>
      </w:r>
    </w:p>
    <w:p w14:paraId="05820ED5" w14:textId="77777777" w:rsidR="007F59FA" w:rsidRPr="0057354F" w:rsidRDefault="007F59FA" w:rsidP="007F59FA">
      <w:pPr>
        <w:spacing w:before="240" w:after="0" w:line="276" w:lineRule="auto"/>
        <w:rPr>
          <w:b/>
          <w:bCs/>
        </w:rPr>
      </w:pPr>
      <w:r w:rsidRPr="0057354F">
        <w:rPr>
          <w:b/>
          <w:bCs/>
        </w:rPr>
        <w:t>User Fee Survey</w:t>
      </w:r>
    </w:p>
    <w:p w14:paraId="697FC2A4" w14:textId="77777777" w:rsidR="007F59FA" w:rsidRDefault="007F59FA" w:rsidP="007F59FA">
      <w:pPr>
        <w:spacing w:before="120" w:line="276" w:lineRule="auto"/>
      </w:pPr>
      <w:r>
        <w:t xml:space="preserve">An industry-wide user fee survey was held for a fortnight in March with the aim to gain broader feedback on the annual fee revision timeline as well as when communication of the annual fees is expected by DSB users. </w:t>
      </w:r>
    </w:p>
    <w:p w14:paraId="655AEF6F" w14:textId="3A3AA61C" w:rsidR="007F59FA" w:rsidRDefault="007F59FA" w:rsidP="007F59FA">
      <w:pPr>
        <w:spacing w:after="120" w:line="276" w:lineRule="auto"/>
      </w:pPr>
      <w:r>
        <w:t>The online survey contained four</w:t>
      </w:r>
      <w:r w:rsidR="003B2F88">
        <w:t xml:space="preserve"> </w:t>
      </w:r>
      <w:r>
        <w:t xml:space="preserve">questions </w:t>
      </w:r>
      <w:r w:rsidR="003B2F88">
        <w:t xml:space="preserve">about the </w:t>
      </w:r>
      <w:r w:rsidR="001663C8">
        <w:t xml:space="preserve">specific topics </w:t>
      </w:r>
      <w:r w:rsidR="000F375B">
        <w:t>of user focus</w:t>
      </w:r>
      <w:r w:rsidR="00B406D7">
        <w:t xml:space="preserve">; </w:t>
      </w:r>
      <w:r>
        <w:t xml:space="preserve">however, despite reminders having been sent, limited feedback was gained as only 9 fee paying users responded. Responses were also received from 1 trade association and 2 registered users. Of the fee-paying users, 7 respondents were trading venues as well as the trade association being the </w:t>
      </w:r>
      <w:r w:rsidRPr="00AC1D85">
        <w:t>European Venues and Markets Association</w:t>
      </w:r>
      <w:r>
        <w:t>.  The 2 remaining fee-paying respondents were banks. Additionally, of the responses received 4 of the respondents have multiple agreements in place.</w:t>
      </w:r>
    </w:p>
    <w:p w14:paraId="6CA057B4" w14:textId="77777777" w:rsidR="007F59FA" w:rsidRDefault="007F59FA" w:rsidP="007F59FA">
      <w:pPr>
        <w:spacing w:after="120" w:line="276" w:lineRule="auto"/>
      </w:pPr>
      <w:r>
        <w:lastRenderedPageBreak/>
        <w:t xml:space="preserve">Although limited feedback was obtained, the responses did indicate that further consideration is required on the topics raised. A synopsis of the feedback is as follows – </w:t>
      </w:r>
    </w:p>
    <w:p w14:paraId="5E51812F" w14:textId="77777777" w:rsidR="007F59FA" w:rsidRDefault="007F59FA" w:rsidP="007F59FA">
      <w:pPr>
        <w:pStyle w:val="ListParagraph"/>
        <w:numPr>
          <w:ilvl w:val="0"/>
          <w:numId w:val="44"/>
        </w:numPr>
        <w:spacing w:after="120" w:line="276" w:lineRule="auto"/>
      </w:pPr>
      <w:r>
        <w:t>The majority of responses indicated a preference to bring the annual fee determination forward, to between July and October</w:t>
      </w:r>
    </w:p>
    <w:p w14:paraId="77D5DE62" w14:textId="77777777" w:rsidR="007F59FA" w:rsidRDefault="007F59FA" w:rsidP="007F59FA">
      <w:pPr>
        <w:pStyle w:val="ListParagraph"/>
        <w:numPr>
          <w:ilvl w:val="0"/>
          <w:numId w:val="44"/>
        </w:numPr>
        <w:spacing w:after="120" w:line="276" w:lineRule="auto"/>
      </w:pPr>
      <w:r>
        <w:t xml:space="preserve">The majority of responses indicated a reasonable </w:t>
      </w:r>
      <w:r w:rsidRPr="00E749A5">
        <w:t xml:space="preserve">uplift related </w:t>
      </w:r>
      <w:r>
        <w:t xml:space="preserve">to annual </w:t>
      </w:r>
      <w:r w:rsidRPr="00E749A5">
        <w:t>build &amp; run</w:t>
      </w:r>
      <w:r>
        <w:t>ning costs would be between 0-4%</w:t>
      </w:r>
    </w:p>
    <w:p w14:paraId="62C14E89" w14:textId="77777777" w:rsidR="007F59FA" w:rsidRDefault="007F59FA" w:rsidP="007F59FA">
      <w:pPr>
        <w:pStyle w:val="ListParagraph"/>
        <w:numPr>
          <w:ilvl w:val="0"/>
          <w:numId w:val="44"/>
        </w:numPr>
        <w:spacing w:after="120" w:line="276" w:lineRule="auto"/>
      </w:pPr>
      <w:r>
        <w:t xml:space="preserve">There was a split position as to whether </w:t>
      </w:r>
      <w:r w:rsidRPr="00C252DA">
        <w:t>the way in which user fees were determined for 2019</w:t>
      </w:r>
      <w:r>
        <w:t xml:space="preserve"> should remain unchanged</w:t>
      </w:r>
    </w:p>
    <w:p w14:paraId="2CEEBE34" w14:textId="77777777" w:rsidR="007F59FA" w:rsidRDefault="007F59FA" w:rsidP="007F59FA">
      <w:pPr>
        <w:pStyle w:val="ListParagraph"/>
        <w:numPr>
          <w:ilvl w:val="0"/>
          <w:numId w:val="44"/>
        </w:numPr>
        <w:spacing w:after="120" w:line="276" w:lineRule="auto"/>
      </w:pPr>
      <w:r>
        <w:t xml:space="preserve">The majority of respondents believed a </w:t>
      </w:r>
      <w:r w:rsidRPr="00C252DA">
        <w:t xml:space="preserve">discount should be made available for entities </w:t>
      </w:r>
      <w:r>
        <w:t>with</w:t>
      </w:r>
      <w:r w:rsidRPr="00C252DA">
        <w:t xml:space="preserve"> multiple or group wide agreements</w:t>
      </w:r>
      <w:r>
        <w:t xml:space="preserve"> with the suggested discount ranging being very broadly from 15% to 100%</w:t>
      </w:r>
    </w:p>
    <w:p w14:paraId="5E03A1F6" w14:textId="6B2CB315" w:rsidR="007F59FA" w:rsidRDefault="007F59FA" w:rsidP="007F59FA">
      <w:pPr>
        <w:spacing w:after="120" w:line="276" w:lineRule="auto"/>
      </w:pPr>
      <w:r>
        <w:t xml:space="preserve">Based on the survey results thus far and the limited time available to make changes for the 2020 fee determination, it is unlikely the DSB can implement a revision to the fee determination cycle for 2020. However, similar to last year </w:t>
      </w:r>
      <w:r w:rsidR="0032255E">
        <w:t xml:space="preserve">the DSB </w:t>
      </w:r>
      <w:r>
        <w:t xml:space="preserve">will provide an estimate of the </w:t>
      </w:r>
      <w:r w:rsidRPr="00162E21">
        <w:t>20</w:t>
      </w:r>
      <w:r>
        <w:t>20</w:t>
      </w:r>
      <w:r w:rsidRPr="00162E21">
        <w:t xml:space="preserve"> user fees and costs </w:t>
      </w:r>
      <w:r>
        <w:t>in early October</w:t>
      </w:r>
      <w:r w:rsidRPr="00162E21">
        <w:t xml:space="preserve"> </w:t>
      </w:r>
      <w:r>
        <w:t>2019 to assist users with budget planning.</w:t>
      </w:r>
    </w:p>
    <w:p w14:paraId="4C6948BC" w14:textId="08D8F85A" w:rsidR="007F59FA" w:rsidRDefault="007F59FA" w:rsidP="007F59FA">
      <w:pPr>
        <w:spacing w:after="120" w:line="276" w:lineRule="auto"/>
      </w:pPr>
      <w:r>
        <w:t>To assist with obtaining the additional industry feedback required to address this matter, the questions from the User Fee Survey have been included within this second consultation paper for response</w:t>
      </w:r>
      <w:r w:rsidR="00A60666">
        <w:t xml:space="preserve">. </w:t>
      </w:r>
    </w:p>
    <w:tbl>
      <w:tblPr>
        <w:tblStyle w:val="GridTable5Dark-Accent1"/>
        <w:tblpPr w:leftFromText="181" w:rightFromText="181" w:vertAnchor="page" w:horzAnchor="margin" w:tblpY="7768"/>
        <w:tblW w:w="8926" w:type="dxa"/>
        <w:tblLayout w:type="fixed"/>
        <w:tblLook w:val="04A0" w:firstRow="1" w:lastRow="0" w:firstColumn="1" w:lastColumn="0" w:noHBand="0" w:noVBand="1"/>
      </w:tblPr>
      <w:tblGrid>
        <w:gridCol w:w="704"/>
        <w:gridCol w:w="4111"/>
        <w:gridCol w:w="1984"/>
        <w:gridCol w:w="2127"/>
      </w:tblGrid>
      <w:tr w:rsidR="009245C1" w:rsidRPr="0030411F" w14:paraId="6D5A0B5D" w14:textId="77777777" w:rsidTr="003421E6">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704" w:type="dxa"/>
            <w:noWrap/>
            <w:vAlign w:val="center"/>
          </w:tcPr>
          <w:p w14:paraId="1D764165" w14:textId="50A1A81E" w:rsidR="009245C1" w:rsidRPr="003421E6" w:rsidRDefault="009245C1" w:rsidP="009245C1">
            <w:pPr>
              <w:spacing w:line="276" w:lineRule="auto"/>
              <w:rPr>
                <w:b w:val="0"/>
                <w:bCs w:val="0"/>
                <w:caps/>
              </w:rPr>
            </w:pPr>
            <w:r w:rsidRPr="003421E6">
              <w:rPr>
                <w:caps/>
              </w:rPr>
              <w:t>CP2 Q #</w:t>
            </w:r>
          </w:p>
        </w:tc>
        <w:tc>
          <w:tcPr>
            <w:tcW w:w="4111" w:type="dxa"/>
            <w:noWrap/>
            <w:vAlign w:val="center"/>
          </w:tcPr>
          <w:p w14:paraId="5CB77C02" w14:textId="57B21AC5" w:rsidR="009245C1" w:rsidRPr="003421E6" w:rsidRDefault="009245C1" w:rsidP="009245C1">
            <w:pPr>
              <w:spacing w:after="120" w:line="276" w:lineRule="auto"/>
              <w:cnfStyle w:val="100000000000" w:firstRow="1" w:lastRow="0" w:firstColumn="0" w:lastColumn="0" w:oddVBand="0" w:evenVBand="0" w:oddHBand="0" w:evenHBand="0" w:firstRowFirstColumn="0" w:firstRowLastColumn="0" w:lastRowFirstColumn="0" w:lastRowLastColumn="0"/>
              <w:rPr>
                <w:caps/>
              </w:rPr>
            </w:pPr>
            <w:r w:rsidRPr="003421E6">
              <w:rPr>
                <w:caps/>
              </w:rPr>
              <w:t>Query for Industry Feedback</w:t>
            </w:r>
          </w:p>
        </w:tc>
        <w:tc>
          <w:tcPr>
            <w:tcW w:w="4111" w:type="dxa"/>
            <w:gridSpan w:val="2"/>
            <w:vAlign w:val="center"/>
          </w:tcPr>
          <w:p w14:paraId="2A6E87BC" w14:textId="0BFFAFFD" w:rsidR="009245C1" w:rsidRPr="003421E6" w:rsidRDefault="009245C1" w:rsidP="009245C1">
            <w:pPr>
              <w:spacing w:line="276" w:lineRule="auto"/>
              <w:cnfStyle w:val="100000000000" w:firstRow="1" w:lastRow="0" w:firstColumn="0" w:lastColumn="0" w:oddVBand="0" w:evenVBand="0" w:oddHBand="0" w:evenHBand="0" w:firstRowFirstColumn="0" w:firstRowLastColumn="0" w:lastRowFirstColumn="0" w:lastRowLastColumn="0"/>
              <w:rPr>
                <w:caps/>
              </w:rPr>
            </w:pPr>
            <w:r w:rsidRPr="003421E6">
              <w:rPr>
                <w:caps/>
              </w:rPr>
              <w:t>User Response Requested</w:t>
            </w:r>
          </w:p>
        </w:tc>
      </w:tr>
      <w:tr w:rsidR="00BB73A2" w:rsidRPr="0030411F" w14:paraId="0782A3F2" w14:textId="77777777" w:rsidTr="0081508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04" w:type="dxa"/>
            <w:vMerge w:val="restart"/>
            <w:noWrap/>
            <w:vAlign w:val="center"/>
            <w:hideMark/>
          </w:tcPr>
          <w:p w14:paraId="7E18437D" w14:textId="06BC5C55" w:rsidR="00BB73A2" w:rsidRPr="0030411F" w:rsidRDefault="00751592" w:rsidP="009245C1">
            <w:pPr>
              <w:spacing w:line="276" w:lineRule="auto"/>
              <w:rPr>
                <w:b w:val="0"/>
                <w:bCs w:val="0"/>
              </w:rPr>
            </w:pPr>
            <w:r>
              <w:rPr>
                <w:b w:val="0"/>
                <w:bCs w:val="0"/>
              </w:rPr>
              <w:t>26</w:t>
            </w:r>
          </w:p>
        </w:tc>
        <w:tc>
          <w:tcPr>
            <w:tcW w:w="4111" w:type="dxa"/>
            <w:vMerge w:val="restart"/>
            <w:shd w:val="clear" w:color="auto" w:fill="auto"/>
            <w:noWrap/>
            <w:vAlign w:val="center"/>
            <w:hideMark/>
          </w:tcPr>
          <w:p w14:paraId="43975036" w14:textId="77777777" w:rsidR="00093AE8" w:rsidRDefault="00BB73A2" w:rsidP="009245C1">
            <w:pPr>
              <w:spacing w:after="120" w:line="276" w:lineRule="auto"/>
              <w:cnfStyle w:val="000000100000" w:firstRow="0" w:lastRow="0" w:firstColumn="0" w:lastColumn="0" w:oddVBand="0" w:evenVBand="0" w:oddHBand="1" w:evenHBand="0" w:firstRowFirstColumn="0" w:firstRowLastColumn="0" w:lastRowFirstColumn="0" w:lastRowLastColumn="0"/>
            </w:pPr>
            <w:r>
              <w:t>The current timeline for determination of annual fees is the first working day of December (DSB Charges Policy – paragraph 2.4</w:t>
            </w:r>
            <w:r>
              <w:rPr>
                <w:rStyle w:val="FootnoteReference"/>
              </w:rPr>
              <w:footnoteReference w:id="23"/>
            </w:r>
            <w:r>
              <w:t>). Communication of the fees is published two days following the fee determination i.e. within the first week of December.</w:t>
            </w:r>
            <w:r w:rsidR="003B68B1">
              <w:t xml:space="preserve"> </w:t>
            </w:r>
          </w:p>
          <w:p w14:paraId="5E22731F" w14:textId="139753E3" w:rsidR="00BB73A2" w:rsidRDefault="003B68B1" w:rsidP="009245C1">
            <w:pPr>
              <w:spacing w:after="120" w:line="276" w:lineRule="auto"/>
              <w:cnfStyle w:val="000000100000" w:firstRow="0" w:lastRow="0" w:firstColumn="0" w:lastColumn="0" w:oddVBand="0" w:evenVBand="0" w:oddHBand="1" w:evenHBand="0" w:firstRowFirstColumn="0" w:firstRowLastColumn="0" w:lastRowFirstColumn="0" w:lastRowLastColumn="0"/>
            </w:pPr>
            <w:r>
              <w:t>W</w:t>
            </w:r>
            <w:r w:rsidR="00BB73A2" w:rsidRPr="0030411F">
              <w:t xml:space="preserve">hen do you need the </w:t>
            </w:r>
            <w:r w:rsidR="00BB73A2">
              <w:t xml:space="preserve">annual </w:t>
            </w:r>
            <w:r w:rsidR="00BB73A2" w:rsidRPr="0030411F">
              <w:t>fees for the following year to be communicated?</w:t>
            </w:r>
          </w:p>
          <w:p w14:paraId="03E20188" w14:textId="6C6D68A9" w:rsidR="00BB73A2" w:rsidRPr="0030411F" w:rsidRDefault="00BB73A2" w:rsidP="009245C1">
            <w:pPr>
              <w:spacing w:after="120"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hideMark/>
          </w:tcPr>
          <w:p w14:paraId="02A11246" w14:textId="50809999"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r>
              <w:t>July</w:t>
            </w:r>
          </w:p>
        </w:tc>
        <w:tc>
          <w:tcPr>
            <w:tcW w:w="2127" w:type="dxa"/>
            <w:vAlign w:val="center"/>
          </w:tcPr>
          <w:p w14:paraId="10618045" w14:textId="6A816F8B"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BB73A2" w:rsidRPr="0030411F" w14:paraId="6E3128AE" w14:textId="77777777" w:rsidTr="00815088">
        <w:trPr>
          <w:trHeight w:val="412"/>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040724B9"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211883D5" w14:textId="77777777" w:rsidR="00BB73A2"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22E5F1FE" w14:textId="2FBB0C4C"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r>
              <w:t>August</w:t>
            </w:r>
          </w:p>
        </w:tc>
        <w:tc>
          <w:tcPr>
            <w:tcW w:w="2127" w:type="dxa"/>
            <w:vAlign w:val="center"/>
          </w:tcPr>
          <w:p w14:paraId="448645D0" w14:textId="65344FCA"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BB73A2" w:rsidRPr="0030411F" w14:paraId="2CA8038D" w14:textId="77777777" w:rsidTr="0081508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6EF29F88"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6CDF1C37" w14:textId="77777777" w:rsidR="00BB73A2"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327C4A1F" w14:textId="1C6336F0"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r>
              <w:t>September</w:t>
            </w:r>
          </w:p>
        </w:tc>
        <w:tc>
          <w:tcPr>
            <w:tcW w:w="2127" w:type="dxa"/>
            <w:vAlign w:val="center"/>
          </w:tcPr>
          <w:p w14:paraId="464A54E7" w14:textId="66DFCB04"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BB73A2" w:rsidRPr="0030411F" w14:paraId="665B6474" w14:textId="77777777" w:rsidTr="00815088">
        <w:trPr>
          <w:trHeight w:val="424"/>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449D05B3"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56F076D2" w14:textId="77777777" w:rsidR="00BB73A2"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619687AC" w14:textId="1DA57E5D"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r>
              <w:t>October</w:t>
            </w:r>
          </w:p>
        </w:tc>
        <w:tc>
          <w:tcPr>
            <w:tcW w:w="2127" w:type="dxa"/>
            <w:vAlign w:val="center"/>
          </w:tcPr>
          <w:p w14:paraId="620B4B7A" w14:textId="4731EE7A"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BB73A2" w:rsidRPr="0030411F" w14:paraId="2A4B2468" w14:textId="77777777" w:rsidTr="0081508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5B29ADE0"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69004E41" w14:textId="77777777" w:rsidR="00BB73A2"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7F60FF5F" w14:textId="033A4421"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r>
              <w:t>November</w:t>
            </w:r>
          </w:p>
        </w:tc>
        <w:tc>
          <w:tcPr>
            <w:tcW w:w="2127" w:type="dxa"/>
            <w:vAlign w:val="center"/>
          </w:tcPr>
          <w:p w14:paraId="4BC6F252" w14:textId="197A2EC5"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BB73A2" w:rsidRPr="0030411F" w14:paraId="55B5F650" w14:textId="77777777" w:rsidTr="00815088">
        <w:trPr>
          <w:trHeight w:val="691"/>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1FC083D9"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378EDC0C" w14:textId="77777777" w:rsidR="00BB73A2"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46D2A113" w14:textId="2F79DBDF"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r>
              <w:t>December</w:t>
            </w:r>
            <w:r w:rsidR="003B68B1">
              <w:t xml:space="preserve"> </w:t>
            </w:r>
            <w:r w:rsidR="00C167EC">
              <w:t>(</w:t>
            </w:r>
            <w:r w:rsidR="003B68B1">
              <w:t>unchanged</w:t>
            </w:r>
            <w:r w:rsidR="00C167EC">
              <w:t>)</w:t>
            </w:r>
          </w:p>
        </w:tc>
        <w:tc>
          <w:tcPr>
            <w:tcW w:w="2127" w:type="dxa"/>
            <w:vAlign w:val="center"/>
          </w:tcPr>
          <w:p w14:paraId="7E9C8562" w14:textId="60BCD20A" w:rsidR="00BB73A2" w:rsidRPr="0030411F" w:rsidRDefault="00BB73A2"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BB73A2" w:rsidRPr="0030411F" w14:paraId="0854616D" w14:textId="77777777" w:rsidTr="0081508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40B742B0" w14:textId="77777777" w:rsidR="00BB73A2" w:rsidRPr="0030411F" w:rsidRDefault="00BB73A2" w:rsidP="00DA7FD4">
            <w:pPr>
              <w:spacing w:line="276" w:lineRule="auto"/>
              <w:rPr>
                <w:b w:val="0"/>
                <w:bCs w:val="0"/>
              </w:rPr>
            </w:pPr>
          </w:p>
        </w:tc>
        <w:tc>
          <w:tcPr>
            <w:tcW w:w="4111" w:type="dxa"/>
            <w:vMerge/>
            <w:shd w:val="clear" w:color="auto" w:fill="auto"/>
            <w:noWrap/>
            <w:vAlign w:val="center"/>
          </w:tcPr>
          <w:p w14:paraId="51863BCB" w14:textId="77777777" w:rsidR="00BB73A2"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5C1D07B0" w14:textId="03290177"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r>
              <w:t>No opinion</w:t>
            </w:r>
          </w:p>
        </w:tc>
        <w:tc>
          <w:tcPr>
            <w:tcW w:w="2127" w:type="dxa"/>
            <w:vAlign w:val="center"/>
          </w:tcPr>
          <w:p w14:paraId="25B0BD21" w14:textId="2BA460A9" w:rsidR="00BB73A2" w:rsidRPr="0030411F" w:rsidRDefault="00BB73A2"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3B68B1" w:rsidRPr="0030411F" w14:paraId="2D828945" w14:textId="77777777" w:rsidTr="00815088">
        <w:trPr>
          <w:trHeight w:val="711"/>
        </w:trPr>
        <w:tc>
          <w:tcPr>
            <w:cnfStyle w:val="001000000000" w:firstRow="0" w:lastRow="0" w:firstColumn="1" w:lastColumn="0" w:oddVBand="0" w:evenVBand="0" w:oddHBand="0" w:evenHBand="0" w:firstRowFirstColumn="0" w:firstRowLastColumn="0" w:lastRowFirstColumn="0" w:lastRowLastColumn="0"/>
            <w:tcW w:w="704" w:type="dxa"/>
            <w:vMerge w:val="restart"/>
            <w:noWrap/>
            <w:vAlign w:val="center"/>
            <w:hideMark/>
          </w:tcPr>
          <w:p w14:paraId="39D83C54" w14:textId="365C4036" w:rsidR="003B68B1" w:rsidRPr="0030411F" w:rsidRDefault="003B68B1" w:rsidP="009245C1">
            <w:pPr>
              <w:spacing w:line="276" w:lineRule="auto"/>
              <w:rPr>
                <w:b w:val="0"/>
                <w:bCs w:val="0"/>
              </w:rPr>
            </w:pPr>
            <w:r w:rsidRPr="0030411F">
              <w:t>2</w:t>
            </w:r>
            <w:r w:rsidR="00751592">
              <w:rPr>
                <w:b w:val="0"/>
                <w:bCs w:val="0"/>
              </w:rPr>
              <w:t>7</w:t>
            </w:r>
          </w:p>
        </w:tc>
        <w:tc>
          <w:tcPr>
            <w:tcW w:w="4111" w:type="dxa"/>
            <w:vMerge w:val="restart"/>
            <w:vAlign w:val="center"/>
            <w:hideMark/>
          </w:tcPr>
          <w:p w14:paraId="710D88A7" w14:textId="77777777" w:rsidR="003B68B1" w:rsidRDefault="003B68B1" w:rsidP="003421E6">
            <w:pPr>
              <w:spacing w:before="240" w:after="120" w:line="276" w:lineRule="auto"/>
              <w:cnfStyle w:val="000000000000" w:firstRow="0" w:lastRow="0" w:firstColumn="0" w:lastColumn="0" w:oddVBand="0" w:evenVBand="0" w:oddHBand="0" w:evenHBand="0" w:firstRowFirstColumn="0" w:firstRowLastColumn="0" w:lastRowFirstColumn="0" w:lastRowLastColumn="0"/>
            </w:pPr>
            <w:r w:rsidRPr="0030411F">
              <w:t xml:space="preserve">The current cost recovery model results in DSB fees being set in way that incorporates adjustments related to the following </w:t>
            </w:r>
            <w:proofErr w:type="spellStart"/>
            <w:r w:rsidRPr="0030411F">
              <w:t>year's service</w:t>
            </w:r>
            <w:proofErr w:type="spellEnd"/>
            <w:r w:rsidRPr="0030411F">
              <w:t xml:space="preserve"> provision, based on industry consultation feedback and input from both industry committees. </w:t>
            </w:r>
          </w:p>
          <w:p w14:paraId="04BCBE6C" w14:textId="77777777" w:rsidR="00093AE8"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r w:rsidRPr="0030411F">
              <w:lastRenderedPageBreak/>
              <w:t>By bringing the fee determination period forward, the DSB may need to allow for some level of build &amp; run related uplift</w:t>
            </w:r>
            <w:r>
              <w:t xml:space="preserve">. This is because the outcome of industry consultation may not be known at the time of fee determination if the timeline is brought forward. </w:t>
            </w:r>
          </w:p>
          <w:p w14:paraId="10AF1F89" w14:textId="77777777" w:rsidR="00093AE8"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p>
          <w:p w14:paraId="1FF144DD" w14:textId="70F4BA86" w:rsidR="003B68B1" w:rsidRDefault="003B68B1" w:rsidP="00C167EC">
            <w:pPr>
              <w:spacing w:line="276" w:lineRule="auto"/>
              <w:cnfStyle w:val="000000000000" w:firstRow="0" w:lastRow="0" w:firstColumn="0" w:lastColumn="0" w:oddVBand="0" w:evenVBand="0" w:oddHBand="0" w:evenHBand="0" w:firstRowFirstColumn="0" w:firstRowLastColumn="0" w:lastRowFirstColumn="0" w:lastRowLastColumn="0"/>
            </w:pPr>
            <w:r w:rsidRPr="0030411F">
              <w:t>What level of cost adjustment should be accommodated?</w:t>
            </w:r>
          </w:p>
          <w:p w14:paraId="378F2BF2" w14:textId="508BD82E" w:rsidR="00C167EC" w:rsidRPr="0030411F" w:rsidRDefault="00C167EC" w:rsidP="00C167EC">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hideMark/>
          </w:tcPr>
          <w:p w14:paraId="37D59953"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63F6A70A"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40DB37FB"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46B7C280"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22B394B5"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21A99E07"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08C60149"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4803AA39"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333D14C7"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1874D9D4" w14:textId="77777777" w:rsidR="00356031" w:rsidRDefault="00356031" w:rsidP="009245C1">
            <w:pPr>
              <w:spacing w:line="276" w:lineRule="auto"/>
              <w:cnfStyle w:val="000000000000" w:firstRow="0" w:lastRow="0" w:firstColumn="0" w:lastColumn="0" w:oddVBand="0" w:evenVBand="0" w:oddHBand="0" w:evenHBand="0" w:firstRowFirstColumn="0" w:firstRowLastColumn="0" w:lastRowFirstColumn="0" w:lastRowLastColumn="0"/>
            </w:pPr>
          </w:p>
          <w:p w14:paraId="716E9993" w14:textId="284C76C3" w:rsidR="003B68B1" w:rsidRPr="0030411F"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r w:rsidRPr="0030411F">
              <w:t>0-4%</w:t>
            </w:r>
          </w:p>
        </w:tc>
        <w:tc>
          <w:tcPr>
            <w:tcW w:w="2127" w:type="dxa"/>
            <w:vAlign w:val="center"/>
          </w:tcPr>
          <w:p w14:paraId="0A95BD0E" w14:textId="1B178C50" w:rsidR="003B68B1" w:rsidRPr="0030411F"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3B68B1" w:rsidRPr="0030411F" w14:paraId="29DCADF5" w14:textId="77777777" w:rsidTr="0081508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5C639581" w14:textId="77777777" w:rsidR="003B68B1" w:rsidRPr="0030411F" w:rsidRDefault="003B68B1" w:rsidP="00DA7FD4">
            <w:pPr>
              <w:spacing w:line="276" w:lineRule="auto"/>
              <w:rPr>
                <w:b w:val="0"/>
                <w:bCs w:val="0"/>
              </w:rPr>
            </w:pPr>
          </w:p>
        </w:tc>
        <w:tc>
          <w:tcPr>
            <w:tcW w:w="4111" w:type="dxa"/>
            <w:vMerge/>
            <w:vAlign w:val="center"/>
          </w:tcPr>
          <w:p w14:paraId="736B5E4F" w14:textId="77777777"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6923BD06" w14:textId="36042A29"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r w:rsidRPr="0030411F">
              <w:t>4-8%,</w:t>
            </w:r>
          </w:p>
        </w:tc>
        <w:tc>
          <w:tcPr>
            <w:tcW w:w="2127" w:type="dxa"/>
            <w:vAlign w:val="center"/>
          </w:tcPr>
          <w:p w14:paraId="790E04D7" w14:textId="125BDC6B"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3B68B1" w:rsidRPr="0030411F" w14:paraId="454F9684" w14:textId="77777777" w:rsidTr="00815088">
        <w:trPr>
          <w:trHeight w:val="561"/>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120A619B" w14:textId="77777777" w:rsidR="003B68B1" w:rsidRPr="0030411F" w:rsidRDefault="003B68B1" w:rsidP="00DA7FD4">
            <w:pPr>
              <w:spacing w:line="276" w:lineRule="auto"/>
              <w:rPr>
                <w:b w:val="0"/>
                <w:bCs w:val="0"/>
              </w:rPr>
            </w:pPr>
          </w:p>
        </w:tc>
        <w:tc>
          <w:tcPr>
            <w:tcW w:w="4111" w:type="dxa"/>
            <w:vMerge/>
            <w:vAlign w:val="center"/>
          </w:tcPr>
          <w:p w14:paraId="334F235E" w14:textId="77777777" w:rsidR="003B68B1" w:rsidRPr="0030411F"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6BC8D337" w14:textId="5D2E2352" w:rsidR="003B68B1" w:rsidRPr="0030411F"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r w:rsidRPr="0030411F">
              <w:t>8-12%,</w:t>
            </w:r>
          </w:p>
        </w:tc>
        <w:tc>
          <w:tcPr>
            <w:tcW w:w="2127" w:type="dxa"/>
            <w:vAlign w:val="center"/>
          </w:tcPr>
          <w:p w14:paraId="7E0C9F7E" w14:textId="121FDF5E" w:rsidR="003B68B1" w:rsidRPr="0030411F" w:rsidRDefault="003B68B1"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3B68B1" w:rsidRPr="0030411F" w14:paraId="5550D6FD" w14:textId="77777777" w:rsidTr="00815088">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194E159B" w14:textId="77777777" w:rsidR="003B68B1" w:rsidRPr="0030411F" w:rsidRDefault="003B68B1" w:rsidP="00DA7FD4">
            <w:pPr>
              <w:spacing w:line="276" w:lineRule="auto"/>
              <w:rPr>
                <w:b w:val="0"/>
                <w:bCs w:val="0"/>
              </w:rPr>
            </w:pPr>
          </w:p>
        </w:tc>
        <w:tc>
          <w:tcPr>
            <w:tcW w:w="4111" w:type="dxa"/>
            <w:vMerge/>
            <w:vAlign w:val="center"/>
          </w:tcPr>
          <w:p w14:paraId="639F9201" w14:textId="77777777"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3D055F25" w14:textId="78D68733"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r w:rsidRPr="0030411F">
              <w:t>No opinion</w:t>
            </w:r>
          </w:p>
        </w:tc>
        <w:tc>
          <w:tcPr>
            <w:tcW w:w="2127" w:type="dxa"/>
            <w:vAlign w:val="center"/>
          </w:tcPr>
          <w:p w14:paraId="7BB12121" w14:textId="21D68051" w:rsidR="003B68B1" w:rsidRPr="0030411F" w:rsidRDefault="003B68B1"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093AE8" w:rsidRPr="0030411F" w14:paraId="0E607B4F" w14:textId="77777777" w:rsidTr="00815088">
        <w:trPr>
          <w:trHeight w:val="416"/>
        </w:trPr>
        <w:tc>
          <w:tcPr>
            <w:cnfStyle w:val="001000000000" w:firstRow="0" w:lastRow="0" w:firstColumn="1" w:lastColumn="0" w:oddVBand="0" w:evenVBand="0" w:oddHBand="0" w:evenHBand="0" w:firstRowFirstColumn="0" w:firstRowLastColumn="0" w:lastRowFirstColumn="0" w:lastRowLastColumn="0"/>
            <w:tcW w:w="704" w:type="dxa"/>
            <w:vMerge w:val="restart"/>
            <w:noWrap/>
            <w:vAlign w:val="center"/>
            <w:hideMark/>
          </w:tcPr>
          <w:p w14:paraId="03D8E4FA" w14:textId="77A48F94" w:rsidR="00093AE8" w:rsidRPr="0030411F" w:rsidRDefault="00751592" w:rsidP="009245C1">
            <w:pPr>
              <w:spacing w:line="276" w:lineRule="auto"/>
              <w:rPr>
                <w:b w:val="0"/>
                <w:bCs w:val="0"/>
              </w:rPr>
            </w:pPr>
            <w:r>
              <w:rPr>
                <w:b w:val="0"/>
                <w:bCs w:val="0"/>
              </w:rPr>
              <w:t>28</w:t>
            </w:r>
          </w:p>
        </w:tc>
        <w:tc>
          <w:tcPr>
            <w:tcW w:w="4111" w:type="dxa"/>
            <w:vMerge w:val="restart"/>
            <w:shd w:val="clear" w:color="auto" w:fill="auto"/>
            <w:vAlign w:val="center"/>
            <w:hideMark/>
          </w:tcPr>
          <w:p w14:paraId="06BE9C18" w14:textId="77777777" w:rsidR="00093AE8"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r w:rsidRPr="0030411F">
              <w:t xml:space="preserve">Industry consensus in 2018 resulted in the DSB making no changes to the way in which user fees were determined for 2019. </w:t>
            </w:r>
          </w:p>
          <w:p w14:paraId="425EDBE2" w14:textId="77777777" w:rsidR="00093AE8"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p>
          <w:p w14:paraId="32D4F42F" w14:textId="5976EC94"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r w:rsidRPr="0030411F">
              <w:t>Do you believe this should remain the case?</w:t>
            </w:r>
          </w:p>
        </w:tc>
        <w:tc>
          <w:tcPr>
            <w:tcW w:w="1984" w:type="dxa"/>
            <w:vAlign w:val="center"/>
            <w:hideMark/>
          </w:tcPr>
          <w:p w14:paraId="4090B020" w14:textId="5CEB7B60"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r>
              <w:t>Yes</w:t>
            </w:r>
          </w:p>
        </w:tc>
        <w:tc>
          <w:tcPr>
            <w:tcW w:w="2127" w:type="dxa"/>
            <w:vAlign w:val="center"/>
          </w:tcPr>
          <w:p w14:paraId="2EA86CBE" w14:textId="359C19A5"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093AE8" w:rsidRPr="0030411F" w14:paraId="272C18E3" w14:textId="77777777" w:rsidTr="0081508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6522BA4A" w14:textId="77777777" w:rsidR="00093AE8" w:rsidRPr="0030411F" w:rsidRDefault="00093AE8" w:rsidP="00DA7FD4">
            <w:pPr>
              <w:spacing w:line="276" w:lineRule="auto"/>
              <w:rPr>
                <w:b w:val="0"/>
                <w:bCs w:val="0"/>
              </w:rPr>
            </w:pPr>
          </w:p>
        </w:tc>
        <w:tc>
          <w:tcPr>
            <w:tcW w:w="4111" w:type="dxa"/>
            <w:vMerge/>
            <w:shd w:val="clear" w:color="auto" w:fill="auto"/>
            <w:vAlign w:val="center"/>
          </w:tcPr>
          <w:p w14:paraId="00518B1E" w14:textId="77777777" w:rsidR="00093AE8" w:rsidRPr="0030411F" w:rsidRDefault="00093AE8" w:rsidP="009245C1">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6224B762" w14:textId="1650B2FF" w:rsidR="00093AE8" w:rsidRPr="0030411F" w:rsidRDefault="00093AE8" w:rsidP="009245C1">
            <w:pPr>
              <w:spacing w:line="276" w:lineRule="auto"/>
              <w:cnfStyle w:val="000000100000" w:firstRow="0" w:lastRow="0" w:firstColumn="0" w:lastColumn="0" w:oddVBand="0" w:evenVBand="0" w:oddHBand="1" w:evenHBand="0" w:firstRowFirstColumn="0" w:firstRowLastColumn="0" w:lastRowFirstColumn="0" w:lastRowLastColumn="0"/>
            </w:pPr>
            <w:r>
              <w:t>No</w:t>
            </w:r>
          </w:p>
        </w:tc>
        <w:tc>
          <w:tcPr>
            <w:tcW w:w="2127" w:type="dxa"/>
            <w:vAlign w:val="center"/>
          </w:tcPr>
          <w:p w14:paraId="5352B665" w14:textId="447BF2F7" w:rsidR="00093AE8" w:rsidRPr="0030411F" w:rsidRDefault="00093AE8" w:rsidP="009245C1">
            <w:pPr>
              <w:spacing w:line="276" w:lineRule="auto"/>
              <w:cnfStyle w:val="000000100000" w:firstRow="0" w:lastRow="0" w:firstColumn="0" w:lastColumn="0" w:oddVBand="0" w:evenVBand="0" w:oddHBand="1" w:evenHBand="0" w:firstRowFirstColumn="0" w:firstRowLastColumn="0" w:lastRowFirstColumn="0" w:lastRowLastColumn="0"/>
            </w:pPr>
          </w:p>
        </w:tc>
      </w:tr>
      <w:tr w:rsidR="00093AE8" w:rsidRPr="0030411F" w14:paraId="166C548C" w14:textId="77777777" w:rsidTr="00815088">
        <w:trPr>
          <w:trHeight w:val="609"/>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61C3764F" w14:textId="77777777" w:rsidR="00093AE8" w:rsidRPr="0030411F" w:rsidRDefault="00093AE8" w:rsidP="00DA7FD4">
            <w:pPr>
              <w:spacing w:line="276" w:lineRule="auto"/>
              <w:rPr>
                <w:b w:val="0"/>
                <w:bCs w:val="0"/>
              </w:rPr>
            </w:pPr>
          </w:p>
        </w:tc>
        <w:tc>
          <w:tcPr>
            <w:tcW w:w="4111" w:type="dxa"/>
            <w:vMerge/>
            <w:shd w:val="clear" w:color="auto" w:fill="auto"/>
            <w:vAlign w:val="center"/>
          </w:tcPr>
          <w:p w14:paraId="229E973B" w14:textId="77777777"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529BF7BD" w14:textId="7864B740"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r>
              <w:t>No opinion</w:t>
            </w:r>
          </w:p>
        </w:tc>
        <w:tc>
          <w:tcPr>
            <w:tcW w:w="2127" w:type="dxa"/>
            <w:vAlign w:val="center"/>
          </w:tcPr>
          <w:p w14:paraId="391C86CE" w14:textId="0ED9BFB3" w:rsidR="00093AE8" w:rsidRPr="0030411F" w:rsidRDefault="00093AE8" w:rsidP="009245C1">
            <w:pPr>
              <w:spacing w:line="276" w:lineRule="auto"/>
              <w:cnfStyle w:val="000000000000" w:firstRow="0" w:lastRow="0" w:firstColumn="0" w:lastColumn="0" w:oddVBand="0" w:evenVBand="0" w:oddHBand="0" w:evenHBand="0" w:firstRowFirstColumn="0" w:firstRowLastColumn="0" w:lastRowFirstColumn="0" w:lastRowLastColumn="0"/>
            </w:pPr>
          </w:p>
        </w:tc>
      </w:tr>
      <w:tr w:rsidR="00A161F8" w:rsidRPr="0030411F" w14:paraId="76C848D0" w14:textId="77777777" w:rsidTr="00FB53D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4" w:type="dxa"/>
            <w:vMerge w:val="restart"/>
            <w:noWrap/>
            <w:vAlign w:val="center"/>
            <w:hideMark/>
          </w:tcPr>
          <w:p w14:paraId="266747B7" w14:textId="7F2505FD" w:rsidR="00A161F8" w:rsidRPr="0030411F" w:rsidRDefault="00A161F8" w:rsidP="00A161F8">
            <w:pPr>
              <w:spacing w:line="276" w:lineRule="auto"/>
              <w:rPr>
                <w:b w:val="0"/>
                <w:bCs w:val="0"/>
              </w:rPr>
            </w:pPr>
            <w:r>
              <w:rPr>
                <w:b w:val="0"/>
                <w:bCs w:val="0"/>
              </w:rPr>
              <w:t>29</w:t>
            </w:r>
          </w:p>
        </w:tc>
        <w:tc>
          <w:tcPr>
            <w:tcW w:w="4111" w:type="dxa"/>
            <w:vMerge w:val="restart"/>
            <w:noWrap/>
            <w:vAlign w:val="center"/>
            <w:hideMark/>
          </w:tcPr>
          <w:p w14:paraId="48F2A167" w14:textId="77777777" w:rsidR="003421E6"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t xml:space="preserve">The current fee model is designed to ensure that all users of the service, irrespective of size or whether a multi-faceted organisation, can reasonably access the services under fair and equitable terms.  Based on this model, the applicable annual fee is applied to each user who executes the DSB Access and Usage Agreement regardless if they have an existing agreement/s in place.  </w:t>
            </w:r>
          </w:p>
          <w:p w14:paraId="38C31325" w14:textId="3C37EFAD" w:rsidR="00A161F8"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t>Please note, any amendment to the fee model including discounted fees for those users with multiple agreements means the revenue reduction will need to be recovered by the user base to ensure cost recovery of the service.</w:t>
            </w:r>
          </w:p>
          <w:p w14:paraId="11218A9A" w14:textId="7DB6BDD2" w:rsidR="00A161F8"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rsidRPr="0030411F">
              <w:t xml:space="preserve">Do you believe a fee discount should be made available for entities requesting multiple or group wide agreements?  </w:t>
            </w:r>
          </w:p>
          <w:p w14:paraId="6336EBEE" w14:textId="770355D0" w:rsidR="00A161F8" w:rsidRPr="0030411F"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rsidRPr="0030411F">
              <w:t xml:space="preserve">If yes, above, what level of discount should be applicable?  </w:t>
            </w:r>
            <w:r w:rsidR="003421E6">
              <w:t>Please select.</w:t>
            </w:r>
          </w:p>
        </w:tc>
        <w:tc>
          <w:tcPr>
            <w:tcW w:w="1984" w:type="dxa"/>
            <w:vAlign w:val="center"/>
            <w:hideMark/>
          </w:tcPr>
          <w:p w14:paraId="369CFF18" w14:textId="4A63CA66"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r>
              <w:t>No</w:t>
            </w:r>
          </w:p>
        </w:tc>
        <w:tc>
          <w:tcPr>
            <w:tcW w:w="2127" w:type="dxa"/>
            <w:vAlign w:val="center"/>
          </w:tcPr>
          <w:p w14:paraId="4D05E8FE" w14:textId="1737113D"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r>
      <w:tr w:rsidR="00A161F8" w:rsidRPr="0030411F" w14:paraId="702104CE" w14:textId="77777777" w:rsidTr="00FB53D1">
        <w:trPr>
          <w:trHeight w:val="694"/>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3087809E" w14:textId="77777777" w:rsidR="00A161F8" w:rsidRPr="0030411F" w:rsidRDefault="00A161F8" w:rsidP="00DA7FD4">
            <w:pPr>
              <w:spacing w:line="276" w:lineRule="auto"/>
              <w:rPr>
                <w:b w:val="0"/>
                <w:bCs w:val="0"/>
              </w:rPr>
            </w:pPr>
          </w:p>
        </w:tc>
        <w:tc>
          <w:tcPr>
            <w:tcW w:w="4111" w:type="dxa"/>
            <w:vMerge/>
            <w:noWrap/>
            <w:vAlign w:val="center"/>
          </w:tcPr>
          <w:p w14:paraId="595DFAE0" w14:textId="77777777"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03BA2556" w14:textId="71587EE6"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r>
              <w:t>Yes, 15%</w:t>
            </w:r>
          </w:p>
        </w:tc>
        <w:tc>
          <w:tcPr>
            <w:tcW w:w="2127" w:type="dxa"/>
            <w:vAlign w:val="center"/>
          </w:tcPr>
          <w:p w14:paraId="056E362D" w14:textId="666D21E4"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r>
      <w:tr w:rsidR="00A161F8" w:rsidRPr="0030411F" w14:paraId="738A9F6D" w14:textId="77777777" w:rsidTr="00FB53D1">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217A56B4" w14:textId="77777777" w:rsidR="00A161F8" w:rsidRPr="0030411F" w:rsidRDefault="00A161F8" w:rsidP="00A161F8">
            <w:pPr>
              <w:spacing w:line="276" w:lineRule="auto"/>
              <w:rPr>
                <w:b w:val="0"/>
                <w:bCs w:val="0"/>
              </w:rPr>
            </w:pPr>
          </w:p>
        </w:tc>
        <w:tc>
          <w:tcPr>
            <w:tcW w:w="4111" w:type="dxa"/>
            <w:vMerge/>
            <w:noWrap/>
            <w:vAlign w:val="center"/>
          </w:tcPr>
          <w:p w14:paraId="6D5CFBB9" w14:textId="77777777"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2331DB39" w14:textId="6B092135" w:rsidR="00A161F8"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r>
              <w:t>Yes, 20%</w:t>
            </w:r>
          </w:p>
        </w:tc>
        <w:tc>
          <w:tcPr>
            <w:tcW w:w="2127" w:type="dxa"/>
            <w:vAlign w:val="center"/>
          </w:tcPr>
          <w:p w14:paraId="4AB3ECA7" w14:textId="77777777"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r>
      <w:tr w:rsidR="00A161F8" w:rsidRPr="0030411F" w14:paraId="55FB23F4" w14:textId="77777777" w:rsidTr="00FB53D1">
        <w:trPr>
          <w:trHeight w:val="686"/>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40A43C1E" w14:textId="77777777" w:rsidR="00A161F8" w:rsidRPr="0030411F" w:rsidRDefault="00A161F8" w:rsidP="00A161F8">
            <w:pPr>
              <w:spacing w:line="276" w:lineRule="auto"/>
              <w:rPr>
                <w:b w:val="0"/>
                <w:bCs w:val="0"/>
              </w:rPr>
            </w:pPr>
          </w:p>
        </w:tc>
        <w:tc>
          <w:tcPr>
            <w:tcW w:w="4111" w:type="dxa"/>
            <w:vMerge/>
            <w:noWrap/>
            <w:vAlign w:val="center"/>
          </w:tcPr>
          <w:p w14:paraId="77A32808" w14:textId="77777777"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4943B2A4" w14:textId="71A66BAA" w:rsidR="00A161F8"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r>
              <w:t>Yes, 25%</w:t>
            </w:r>
          </w:p>
        </w:tc>
        <w:tc>
          <w:tcPr>
            <w:tcW w:w="2127" w:type="dxa"/>
            <w:vAlign w:val="center"/>
          </w:tcPr>
          <w:p w14:paraId="4529219B" w14:textId="77777777"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r>
      <w:tr w:rsidR="00A161F8" w:rsidRPr="0030411F" w14:paraId="675E2EF7" w14:textId="77777777" w:rsidTr="00FB53D1">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1D8C88F3" w14:textId="77777777" w:rsidR="00A161F8" w:rsidRPr="0030411F" w:rsidRDefault="00A161F8" w:rsidP="00A161F8">
            <w:pPr>
              <w:spacing w:line="276" w:lineRule="auto"/>
              <w:rPr>
                <w:b w:val="0"/>
                <w:bCs w:val="0"/>
              </w:rPr>
            </w:pPr>
          </w:p>
        </w:tc>
        <w:tc>
          <w:tcPr>
            <w:tcW w:w="4111" w:type="dxa"/>
            <w:vMerge/>
            <w:noWrap/>
            <w:vAlign w:val="center"/>
          </w:tcPr>
          <w:p w14:paraId="336E8B26" w14:textId="77777777"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32DD057A" w14:textId="187D56CA" w:rsidR="00A161F8"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r>
              <w:t>Yes, 50%</w:t>
            </w:r>
          </w:p>
        </w:tc>
        <w:tc>
          <w:tcPr>
            <w:tcW w:w="2127" w:type="dxa"/>
            <w:vAlign w:val="center"/>
          </w:tcPr>
          <w:p w14:paraId="6427D689" w14:textId="77777777"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r>
      <w:tr w:rsidR="00A161F8" w:rsidRPr="0030411F" w14:paraId="3F2A73B7" w14:textId="77777777" w:rsidTr="00FB53D1">
        <w:trPr>
          <w:trHeight w:val="692"/>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23531A74" w14:textId="77777777" w:rsidR="00A161F8" w:rsidRPr="0030411F" w:rsidRDefault="00A161F8" w:rsidP="00A161F8">
            <w:pPr>
              <w:spacing w:line="276" w:lineRule="auto"/>
              <w:rPr>
                <w:b w:val="0"/>
                <w:bCs w:val="0"/>
              </w:rPr>
            </w:pPr>
          </w:p>
        </w:tc>
        <w:tc>
          <w:tcPr>
            <w:tcW w:w="4111" w:type="dxa"/>
            <w:vMerge/>
            <w:noWrap/>
            <w:vAlign w:val="center"/>
          </w:tcPr>
          <w:p w14:paraId="462A885E" w14:textId="77777777"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c>
          <w:tcPr>
            <w:tcW w:w="1984" w:type="dxa"/>
            <w:vAlign w:val="center"/>
          </w:tcPr>
          <w:p w14:paraId="68BE48C6" w14:textId="1B774AF1" w:rsidR="00A161F8"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r>
              <w:t>No opinion</w:t>
            </w:r>
          </w:p>
        </w:tc>
        <w:tc>
          <w:tcPr>
            <w:tcW w:w="2127" w:type="dxa"/>
            <w:vAlign w:val="center"/>
          </w:tcPr>
          <w:p w14:paraId="66FAD0D5" w14:textId="77777777" w:rsidR="00A161F8" w:rsidRPr="0030411F" w:rsidRDefault="00A161F8" w:rsidP="00A161F8">
            <w:pPr>
              <w:spacing w:line="276" w:lineRule="auto"/>
              <w:cnfStyle w:val="000000000000" w:firstRow="0" w:lastRow="0" w:firstColumn="0" w:lastColumn="0" w:oddVBand="0" w:evenVBand="0" w:oddHBand="0" w:evenHBand="0" w:firstRowFirstColumn="0" w:firstRowLastColumn="0" w:lastRowFirstColumn="0" w:lastRowLastColumn="0"/>
            </w:pPr>
          </w:p>
        </w:tc>
      </w:tr>
      <w:tr w:rsidR="00A161F8" w:rsidRPr="0030411F" w14:paraId="447ADD9C" w14:textId="77777777" w:rsidTr="0081508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704" w:type="dxa"/>
            <w:vMerge/>
            <w:noWrap/>
            <w:vAlign w:val="center"/>
          </w:tcPr>
          <w:p w14:paraId="3DC25656" w14:textId="77777777" w:rsidR="00A161F8" w:rsidRPr="0030411F" w:rsidRDefault="00A161F8" w:rsidP="00DA7FD4">
            <w:pPr>
              <w:spacing w:line="276" w:lineRule="auto"/>
              <w:rPr>
                <w:b w:val="0"/>
                <w:bCs w:val="0"/>
              </w:rPr>
            </w:pPr>
          </w:p>
        </w:tc>
        <w:tc>
          <w:tcPr>
            <w:tcW w:w="4111" w:type="dxa"/>
            <w:vMerge/>
            <w:noWrap/>
            <w:vAlign w:val="center"/>
          </w:tcPr>
          <w:p w14:paraId="6376F2B0" w14:textId="77777777"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c>
          <w:tcPr>
            <w:tcW w:w="1984" w:type="dxa"/>
            <w:vAlign w:val="center"/>
          </w:tcPr>
          <w:p w14:paraId="269CBF8C" w14:textId="4A82C4EF"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r>
              <w:t>Other</w:t>
            </w:r>
          </w:p>
        </w:tc>
        <w:tc>
          <w:tcPr>
            <w:tcW w:w="2127" w:type="dxa"/>
            <w:vAlign w:val="center"/>
          </w:tcPr>
          <w:p w14:paraId="654934C9" w14:textId="5D47CD53" w:rsidR="00A161F8" w:rsidRPr="0030411F" w:rsidRDefault="00A161F8" w:rsidP="00A161F8">
            <w:pPr>
              <w:spacing w:line="276" w:lineRule="auto"/>
              <w:cnfStyle w:val="000000100000" w:firstRow="0" w:lastRow="0" w:firstColumn="0" w:lastColumn="0" w:oddVBand="0" w:evenVBand="0" w:oddHBand="1" w:evenHBand="0" w:firstRowFirstColumn="0" w:firstRowLastColumn="0" w:lastRowFirstColumn="0" w:lastRowLastColumn="0"/>
            </w:pPr>
          </w:p>
        </w:tc>
      </w:tr>
      <w:tr w:rsidR="00093AE8" w:rsidRPr="0030411F" w14:paraId="03052A5C" w14:textId="77777777" w:rsidTr="003421E6">
        <w:trPr>
          <w:trHeight w:val="1713"/>
        </w:trPr>
        <w:tc>
          <w:tcPr>
            <w:cnfStyle w:val="001000000000" w:firstRow="0" w:lastRow="0" w:firstColumn="1" w:lastColumn="0" w:oddVBand="0" w:evenVBand="0" w:oddHBand="0" w:evenHBand="0" w:firstRowFirstColumn="0" w:firstRowLastColumn="0" w:lastRowFirstColumn="0" w:lastRowLastColumn="0"/>
            <w:tcW w:w="704" w:type="dxa"/>
            <w:noWrap/>
            <w:vAlign w:val="center"/>
            <w:hideMark/>
          </w:tcPr>
          <w:p w14:paraId="68D19098" w14:textId="15C9E64F" w:rsidR="00093AE8" w:rsidRPr="00140AA8" w:rsidRDefault="00751592" w:rsidP="009245C1">
            <w:pPr>
              <w:spacing w:before="240" w:line="276" w:lineRule="auto"/>
              <w:rPr>
                <w:b w:val="0"/>
                <w:bCs w:val="0"/>
              </w:rPr>
            </w:pPr>
            <w:r>
              <w:rPr>
                <w:b w:val="0"/>
                <w:bCs w:val="0"/>
              </w:rPr>
              <w:lastRenderedPageBreak/>
              <w:t>30</w:t>
            </w:r>
          </w:p>
        </w:tc>
        <w:tc>
          <w:tcPr>
            <w:tcW w:w="4111" w:type="dxa"/>
            <w:tcBorders>
              <w:bottom w:val="single" w:sz="4" w:space="0" w:color="BDD6EE" w:themeColor="accent1" w:themeTint="66"/>
              <w:right w:val="single" w:sz="4" w:space="0" w:color="BDD6EE" w:themeColor="accent1" w:themeTint="66"/>
            </w:tcBorders>
            <w:shd w:val="clear" w:color="auto" w:fill="auto"/>
            <w:noWrap/>
            <w:vAlign w:val="center"/>
            <w:hideMark/>
          </w:tcPr>
          <w:p w14:paraId="4AA51386" w14:textId="5D9C1332" w:rsidR="00093AE8" w:rsidRPr="00140AA8" w:rsidRDefault="00093AE8" w:rsidP="009245C1">
            <w:pPr>
              <w:spacing w:before="240" w:line="276" w:lineRule="auto"/>
              <w:cnfStyle w:val="000000000000" w:firstRow="0" w:lastRow="0" w:firstColumn="0" w:lastColumn="0" w:oddVBand="0" w:evenVBand="0" w:oddHBand="0" w:evenHBand="0" w:firstRowFirstColumn="0" w:firstRowLastColumn="0" w:lastRowFirstColumn="0" w:lastRowLastColumn="0"/>
              <w:rPr>
                <w:b/>
                <w:bCs/>
              </w:rPr>
            </w:pPr>
            <w:r w:rsidRPr="00140AA8">
              <w:rPr>
                <w:b/>
                <w:bCs/>
              </w:rPr>
              <w:t xml:space="preserve">Please provide </w:t>
            </w:r>
            <w:r w:rsidR="00DA2F64">
              <w:rPr>
                <w:b/>
                <w:bCs/>
              </w:rPr>
              <w:t>any additional</w:t>
            </w:r>
            <w:r w:rsidR="00DA2F64" w:rsidRPr="00140AA8">
              <w:rPr>
                <w:b/>
                <w:bCs/>
              </w:rPr>
              <w:t xml:space="preserve"> </w:t>
            </w:r>
            <w:r w:rsidR="00DA2F64">
              <w:rPr>
                <w:b/>
                <w:bCs/>
              </w:rPr>
              <w:t xml:space="preserve">user fee </w:t>
            </w:r>
            <w:r w:rsidRPr="00140AA8">
              <w:rPr>
                <w:b/>
                <w:bCs/>
              </w:rPr>
              <w:t>related feedback you wish to provide</w:t>
            </w:r>
            <w:r>
              <w:rPr>
                <w:b/>
                <w:bCs/>
              </w:rPr>
              <w:t>.</w:t>
            </w:r>
          </w:p>
        </w:tc>
        <w:tc>
          <w:tcPr>
            <w:tcW w:w="4111" w:type="dxa"/>
            <w:gridSpan w:val="2"/>
            <w:tcBorders>
              <w:left w:val="single" w:sz="4" w:space="0" w:color="BDD6EE" w:themeColor="accent1" w:themeTint="66"/>
              <w:bottom w:val="single" w:sz="4" w:space="0" w:color="BDD6EE" w:themeColor="accent1" w:themeTint="66"/>
            </w:tcBorders>
            <w:shd w:val="clear" w:color="auto" w:fill="auto"/>
            <w:vAlign w:val="center"/>
            <w:hideMark/>
          </w:tcPr>
          <w:p w14:paraId="39EAE2A2" w14:textId="77777777" w:rsidR="00093AE8" w:rsidRPr="00140AA8" w:rsidRDefault="00093AE8" w:rsidP="009245C1">
            <w:pPr>
              <w:spacing w:before="240"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685D22AF" w14:textId="77777777" w:rsidR="007F59FA" w:rsidRPr="006301B0" w:rsidRDefault="007F59FA" w:rsidP="007F59FA">
      <w:pPr>
        <w:spacing w:before="240" w:line="276" w:lineRule="auto"/>
        <w:rPr>
          <w:b/>
          <w:bCs/>
        </w:rPr>
      </w:pPr>
      <w:r>
        <w:rPr>
          <w:b/>
          <w:bCs/>
        </w:rPr>
        <w:t>DSB</w:t>
      </w:r>
      <w:r w:rsidRPr="0057354F">
        <w:rPr>
          <w:b/>
          <w:bCs/>
        </w:rPr>
        <w:t xml:space="preserve"> </w:t>
      </w:r>
      <w:r>
        <w:rPr>
          <w:b/>
          <w:bCs/>
        </w:rPr>
        <w:t>Agreement Forum</w:t>
      </w:r>
    </w:p>
    <w:p w14:paraId="580873DB" w14:textId="77777777" w:rsidR="007F59FA" w:rsidRDefault="007F59FA" w:rsidP="007F59FA">
      <w:pPr>
        <w:spacing w:after="120" w:line="276" w:lineRule="auto"/>
      </w:pPr>
      <w:r w:rsidRPr="008E2A76">
        <w:t xml:space="preserve">The intent behind </w:t>
      </w:r>
      <w:r>
        <w:t>proposing</w:t>
      </w:r>
      <w:r w:rsidRPr="008E2A76">
        <w:t xml:space="preserve"> </w:t>
      </w:r>
      <w:r>
        <w:t>the establishment of a DSB</w:t>
      </w:r>
      <w:r w:rsidRPr="008E2A76">
        <w:t xml:space="preserve"> Agreement Forum </w:t>
      </w:r>
      <w:r>
        <w:t>wa</w:t>
      </w:r>
      <w:r w:rsidRPr="008E2A76">
        <w:t>s to</w:t>
      </w:r>
      <w:r>
        <w:t xml:space="preserve"> engage an industry forum comprising a broad range of DSB users in order to r</w:t>
      </w:r>
      <w:r w:rsidRPr="00644892">
        <w:t>eview the user agreement to allow for users to more easily paper with the DSB</w:t>
      </w:r>
      <w:r>
        <w:t>. The aim being</w:t>
      </w:r>
      <w:r w:rsidRPr="00644892">
        <w:t xml:space="preserve"> that a single agreement could be used across </w:t>
      </w:r>
      <w:r>
        <w:t>group entities</w:t>
      </w:r>
      <w:r w:rsidRPr="00644892">
        <w:t xml:space="preserve"> </w:t>
      </w:r>
      <w:r>
        <w:t xml:space="preserve">and </w:t>
      </w:r>
      <w:r w:rsidRPr="00644892">
        <w:t>multiple user categories</w:t>
      </w:r>
      <w:r w:rsidRPr="008E2A76">
        <w:t xml:space="preserve">. </w:t>
      </w:r>
      <w:r>
        <w:t xml:space="preserve">Additionally, </w:t>
      </w:r>
      <w:r w:rsidRPr="008E2A76">
        <w:t>if recommend</w:t>
      </w:r>
      <w:r>
        <w:t>ations were to be made</w:t>
      </w:r>
      <w:r w:rsidRPr="008E2A76">
        <w:t xml:space="preserve"> to accommodate those that </w:t>
      </w:r>
      <w:r>
        <w:t>require</w:t>
      </w:r>
      <w:r w:rsidRPr="008E2A76">
        <w:t xml:space="preserve"> multiple licences, the work of the Agreement Forum may also touch on the fee model methodology</w:t>
      </w:r>
      <w:r>
        <w:t xml:space="preserve">. This factor makes it extremely important to include broad representation from the user base given the cost recovery principle and the need to have fair and reasonable distribution of costs across all users. </w:t>
      </w:r>
    </w:p>
    <w:p w14:paraId="5751820E" w14:textId="77777777" w:rsidR="007F59FA" w:rsidRDefault="007F59FA" w:rsidP="007F59FA">
      <w:pPr>
        <w:spacing w:after="120" w:line="276" w:lineRule="auto"/>
      </w:pPr>
      <w:r w:rsidRPr="008E2A76">
        <w:t>T</w:t>
      </w:r>
      <w:r>
        <w:t>o further this initiative, the</w:t>
      </w:r>
      <w:r w:rsidRPr="008E2A76">
        <w:t xml:space="preserve"> DSB extended an invitation to 16 fee paying users across a </w:t>
      </w:r>
      <w:r>
        <w:t>range</w:t>
      </w:r>
      <w:r w:rsidRPr="008E2A76">
        <w:t xml:space="preserve"> of user types and entity categorisations, including those with multiple</w:t>
      </w:r>
      <w:r>
        <w:t xml:space="preserve"> and single</w:t>
      </w:r>
      <w:r w:rsidRPr="008E2A76">
        <w:t xml:space="preserve"> agreements. </w:t>
      </w:r>
      <w:r>
        <w:t>Although a reminder was sent, only 3 parties responded with interest in participating. Given the current lack of interest in participation, the DSB</w:t>
      </w:r>
      <w:r w:rsidRPr="008E2A76">
        <w:t xml:space="preserve"> Agreement Forum</w:t>
      </w:r>
      <w:r>
        <w:t xml:space="preserve"> has not been established at this time. </w:t>
      </w:r>
    </w:p>
    <w:p w14:paraId="6CF749B2" w14:textId="77777777" w:rsidR="007F59FA" w:rsidRDefault="007F59FA" w:rsidP="007F59FA">
      <w:pPr>
        <w:spacing w:after="120" w:line="276" w:lineRule="auto"/>
      </w:pPr>
      <w:r>
        <w:t>The DSB remains open to further engagement with industry to consider how the above matters could be most effectively addressed. As part of this consultation we aim to receive guidance from industry on how to take this matter forward.</w:t>
      </w:r>
    </w:p>
    <w:p w14:paraId="27EF51D6" w14:textId="5D5B367A" w:rsidR="007F59FA" w:rsidRDefault="00252A9D" w:rsidP="007F59FA">
      <w:pPr>
        <w:spacing w:after="120" w:line="276" w:lineRule="auto"/>
      </w:pPr>
      <w:r w:rsidRPr="00BB1525">
        <w:rPr>
          <w:noProof/>
          <w:lang w:eastAsia="en-GB"/>
        </w:rPr>
        <mc:AlternateContent>
          <mc:Choice Requires="wps">
            <w:drawing>
              <wp:anchor distT="45720" distB="45720" distL="114300" distR="114300" simplePos="0" relativeHeight="251908096" behindDoc="1" locked="0" layoutInCell="1" allowOverlap="1" wp14:anchorId="0C5D0CEC" wp14:editId="1BA20673">
                <wp:simplePos x="0" y="0"/>
                <wp:positionH relativeFrom="margin">
                  <wp:posOffset>-2540</wp:posOffset>
                </wp:positionH>
                <wp:positionV relativeFrom="paragraph">
                  <wp:posOffset>1193800</wp:posOffset>
                </wp:positionV>
                <wp:extent cx="5716905" cy="1404620"/>
                <wp:effectExtent l="0" t="0" r="17145" b="21590"/>
                <wp:wrapTight wrapText="bothSides">
                  <wp:wrapPolygon edited="0">
                    <wp:start x="0" y="0"/>
                    <wp:lineTo x="0" y="21676"/>
                    <wp:lineTo x="21593" y="21676"/>
                    <wp:lineTo x="21593"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1F029BBF" w14:textId="500EDA7A" w:rsidR="00D52BA4" w:rsidRDefault="00D52BA4" w:rsidP="0032255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31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4B758B">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form the DSB Agreement Forum and present its findings within the annual DSB consultation in 2020</w:t>
                            </w:r>
                            <w:r w:rsidRPr="004B758B">
                              <w:rPr>
                                <w:rStyle w:val="eop"/>
                                <w:rFonts w:ascii="Calibri" w:eastAsiaTheme="majorEastAsia" w:hAnsi="Calibri" w:cs="Calibri"/>
                                <w:sz w:val="22"/>
                                <w:szCs w:val="22"/>
                              </w:rPr>
                              <w:t>? If not, what is your specific alternate proposal (if 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D0CEC" id="Text Box 55" o:spid="_x0000_s1077" type="#_x0000_t202" style="position:absolute;margin-left:-.2pt;margin-top:94pt;width:450.15pt;height:110.6pt;z-index:-251408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">
                <v:textbox style="mso-fit-shape-to-text:t">
                  <w:txbxContent>
                    <w:p w14:paraId="1F029BBF" w14:textId="500EDA7A" w:rsidR="00D52BA4" w:rsidRDefault="00D52BA4" w:rsidP="0032255E">
                      <w:pPr>
                        <w:pStyle w:val="paragraph"/>
                        <w:spacing w:before="240" w:beforeAutospacing="0" w:after="120" w:afterAutospacing="0" w:line="276" w:lineRule="auto"/>
                        <w:textAlignment w:val="baseline"/>
                        <w:rPr>
                          <w:rStyle w:val="eop"/>
                          <w:rFonts w:ascii="Calibri" w:eastAsiaTheme="majorEastAsia" w:hAnsi="Calibri" w:cs="Calibri"/>
                          <w:sz w:val="22"/>
                          <w:szCs w:val="22"/>
                        </w:rPr>
                      </w:pPr>
                      <w:r w:rsidRPr="00BB1525">
                        <w:rPr>
                          <w:rStyle w:val="normaltextrun"/>
                          <w:rFonts w:ascii="Calibri" w:hAnsi="Calibri" w:cs="Calibri"/>
                          <w:b/>
                          <w:color w:val="000000"/>
                          <w:sz w:val="22"/>
                          <w:szCs w:val="22"/>
                        </w:rPr>
                        <w:t>CP2 Question</w:t>
                      </w:r>
                      <w:r>
                        <w:rPr>
                          <w:rStyle w:val="normaltextrun"/>
                          <w:rFonts w:ascii="Calibri" w:hAnsi="Calibri" w:cs="Calibri"/>
                          <w:b/>
                          <w:color w:val="000000"/>
                          <w:sz w:val="22"/>
                          <w:szCs w:val="22"/>
                        </w:rPr>
                        <w:t xml:space="preserve"> 31</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4B758B">
                        <w:rPr>
                          <w:rStyle w:val="eop"/>
                          <w:rFonts w:ascii="Calibri" w:eastAsiaTheme="majorEastAsia" w:hAnsi="Calibri" w:cs="Calibri"/>
                          <w:sz w:val="22"/>
                          <w:szCs w:val="22"/>
                        </w:rPr>
                        <w:t>Do you concur with the DSB’s proposal</w:t>
                      </w:r>
                      <w:r>
                        <w:rPr>
                          <w:rStyle w:val="eop"/>
                          <w:rFonts w:ascii="Calibri" w:eastAsiaTheme="majorEastAsia" w:hAnsi="Calibri" w:cs="Calibri"/>
                          <w:sz w:val="22"/>
                          <w:szCs w:val="22"/>
                        </w:rPr>
                        <w:t xml:space="preserve"> to form the DSB Agreement Forum and present its findings within the annual DSB consultation in 2020</w:t>
                      </w:r>
                      <w:r w:rsidRPr="004B758B">
                        <w:rPr>
                          <w:rStyle w:val="eop"/>
                          <w:rFonts w:ascii="Calibri" w:eastAsiaTheme="majorEastAsia" w:hAnsi="Calibri" w:cs="Calibri"/>
                          <w:sz w:val="22"/>
                          <w:szCs w:val="22"/>
                        </w:rPr>
                        <w:t>? If not, what is your specific alternate proposal (if any)?</w:t>
                      </w:r>
                    </w:p>
                  </w:txbxContent>
                </v:textbox>
                <w10:wrap type="tight" anchorx="margin"/>
              </v:shape>
            </w:pict>
          </mc:Fallback>
        </mc:AlternateContent>
      </w:r>
      <w:r w:rsidR="007F59FA" w:rsidRPr="009D33E3">
        <w:rPr>
          <w:b/>
          <w:bCs/>
        </w:rPr>
        <w:t>Proposal:</w:t>
      </w:r>
      <w:r w:rsidR="007F59FA">
        <w:t xml:space="preserve"> The DSB proposes to move forward with establishment of the DSB</w:t>
      </w:r>
      <w:r w:rsidR="007F59FA" w:rsidRPr="008E2A76">
        <w:t xml:space="preserve"> </w:t>
      </w:r>
      <w:r w:rsidR="007F59FA">
        <w:t>Agreement Forum with those participants who have expressed an interest as well as ask for any other interested parties to express their interest by 1</w:t>
      </w:r>
      <w:r w:rsidR="007F59FA" w:rsidRPr="00433689">
        <w:rPr>
          <w:vertAlign w:val="superscript"/>
        </w:rPr>
        <w:t>st</w:t>
      </w:r>
      <w:r w:rsidR="007F59FA">
        <w:t xml:space="preserve"> September 2019. Once </w:t>
      </w:r>
      <w:r w:rsidR="0032255E">
        <w:t xml:space="preserve">established, </w:t>
      </w:r>
      <w:r w:rsidR="007F59FA">
        <w:t>the DSB</w:t>
      </w:r>
      <w:r w:rsidR="007F59FA" w:rsidRPr="008E2A76">
        <w:t xml:space="preserve"> </w:t>
      </w:r>
      <w:r w:rsidR="007F59FA">
        <w:t>Agreement Forum will commence work in Q4 2019 with the aim for recommendations and proposals to be included in the annual industry consultation in 2020.</w:t>
      </w:r>
    </w:p>
    <w:p w14:paraId="18CAA6E7" w14:textId="77777777" w:rsidR="00252A9D" w:rsidRDefault="00252A9D" w:rsidP="007F59FA">
      <w:pPr>
        <w:spacing w:after="120" w:line="276" w:lineRule="auto"/>
      </w:pPr>
    </w:p>
    <w:p w14:paraId="232338D0" w14:textId="77777777" w:rsidR="007F59FA" w:rsidRDefault="007F59FA" w:rsidP="007F59FA">
      <w:pPr>
        <w:spacing w:after="120" w:line="276" w:lineRule="auto"/>
      </w:pPr>
      <w:r>
        <w:t>Expressions of interest to participate in the DSB</w:t>
      </w:r>
      <w:r w:rsidRPr="008E2A76">
        <w:t xml:space="preserve"> </w:t>
      </w:r>
      <w:r>
        <w:t xml:space="preserve">Agreement Forum should be directed to </w:t>
      </w:r>
      <w:hyperlink r:id="rId27" w:history="1">
        <w:r w:rsidRPr="00A1290D">
          <w:rPr>
            <w:rStyle w:val="Hyperlink"/>
          </w:rPr>
          <w:t>secretariat@ANNA-DSB.com</w:t>
        </w:r>
      </w:hyperlink>
      <w:r>
        <w:t xml:space="preserve">  </w:t>
      </w:r>
    </w:p>
    <w:p w14:paraId="194754A3" w14:textId="77777777" w:rsidR="007F59FA" w:rsidRDefault="007F59FA" w:rsidP="007F59FA">
      <w:pPr>
        <w:spacing w:after="120" w:line="276" w:lineRule="auto"/>
      </w:pPr>
    </w:p>
    <w:p w14:paraId="6086B938" w14:textId="7CE7142D" w:rsidR="007F59FA" w:rsidRDefault="007F59FA">
      <w:r>
        <w:br w:type="page"/>
      </w:r>
    </w:p>
    <w:p w14:paraId="1F5A6480" w14:textId="6E699C9A" w:rsidR="001C032B" w:rsidRDefault="001C032B" w:rsidP="00765BA8">
      <w:pPr>
        <w:pStyle w:val="Heading1"/>
        <w:spacing w:line="276" w:lineRule="auto"/>
      </w:pPr>
      <w:bookmarkStart w:id="131" w:name="_Toc13087160"/>
      <w:bookmarkStart w:id="132" w:name="_Toc13157246"/>
      <w:r>
        <w:lastRenderedPageBreak/>
        <w:t>Appendices</w:t>
      </w:r>
      <w:bookmarkEnd w:id="128"/>
      <w:bookmarkEnd w:id="131"/>
      <w:bookmarkEnd w:id="132"/>
    </w:p>
    <w:p w14:paraId="69CE5465" w14:textId="672C759E" w:rsidR="008F2F1E" w:rsidRPr="008172B1" w:rsidRDefault="001C032B" w:rsidP="001C032B">
      <w:pPr>
        <w:pStyle w:val="Heading2"/>
      </w:pPr>
      <w:bookmarkStart w:id="133" w:name="_Toc517783485"/>
      <w:bookmarkStart w:id="134" w:name="_Ref13046361"/>
      <w:bookmarkStart w:id="135" w:name="_Toc13087161"/>
      <w:bookmarkStart w:id="136" w:name="_Toc13157247"/>
      <w:r w:rsidRPr="008172B1">
        <w:t xml:space="preserve">Appendix 1 - </w:t>
      </w:r>
      <w:r w:rsidR="008F2F1E" w:rsidRPr="008172B1">
        <w:t>Cost Basis</w:t>
      </w:r>
      <w:bookmarkEnd w:id="133"/>
      <w:r w:rsidR="00701CC6">
        <w:t xml:space="preserve"> 2019</w:t>
      </w:r>
      <w:bookmarkEnd w:id="134"/>
      <w:bookmarkEnd w:id="135"/>
      <w:bookmarkEnd w:id="136"/>
    </w:p>
    <w:p w14:paraId="71D68D41" w14:textId="06AC7FBC" w:rsidR="00AB441A" w:rsidRPr="00AB441A" w:rsidRDefault="00B816C0" w:rsidP="005F5144">
      <w:pPr>
        <w:spacing w:before="120" w:after="120" w:line="240" w:lineRule="auto"/>
      </w:pPr>
      <w:r>
        <w:t>Annual u</w:t>
      </w:r>
      <w:r w:rsidR="00AB441A" w:rsidRPr="00AB441A">
        <w:t xml:space="preserve">ser fees recover the DSB overhead costs. The total </w:t>
      </w:r>
      <w:r w:rsidR="00701CC6">
        <w:t xml:space="preserve">estimated </w:t>
      </w:r>
      <w:r w:rsidR="00AB441A" w:rsidRPr="00AB441A">
        <w:t>annual overhead upon which the cost-recovery fees were calculated is €9.14m, which is in line with the amount previously communicated</w:t>
      </w:r>
      <w:r w:rsidR="005F5144">
        <w:rPr>
          <w:rStyle w:val="FootnoteReference"/>
        </w:rPr>
        <w:footnoteReference w:id="24"/>
      </w:r>
      <w:r w:rsidR="00AB441A" w:rsidRPr="00AB441A">
        <w:t xml:space="preserve">. The fee calculation was based on the contracts in force as of </w:t>
      </w:r>
      <w:r w:rsidR="00701CC6">
        <w:t>3 December 2018</w:t>
      </w:r>
      <w:r w:rsidR="00AB441A" w:rsidRPr="00AB441A">
        <w:t xml:space="preserve"> and the user categories those contracts represent. Excess revenues caused by additional contracts signed after 1 January 2019 will go to defraying user fees for the next contract year. </w:t>
      </w:r>
    </w:p>
    <w:p w14:paraId="19B62086" w14:textId="186BFF2B" w:rsidR="00CA16BF" w:rsidRDefault="00AB441A" w:rsidP="00AB441A">
      <w:pPr>
        <w:spacing w:before="100" w:beforeAutospacing="1" w:after="100" w:afterAutospacing="1" w:line="240" w:lineRule="auto"/>
      </w:pPr>
      <w:r w:rsidRPr="00AB441A">
        <w:t xml:space="preserve">The tables below show the breakdown of the </w:t>
      </w:r>
      <w:r w:rsidR="00B816C0" w:rsidRPr="00B816C0">
        <w:t>Estimated Total DSB Cost</w:t>
      </w:r>
      <w:r w:rsidR="00B816C0">
        <w:t xml:space="preserve"> of </w:t>
      </w:r>
      <w:r w:rsidRPr="00AB441A">
        <w:t>€9.14m on 3 December 2018, following feedback received as part of the industry consultations in 2018</w:t>
      </w:r>
      <w:r w:rsidR="00B816C0">
        <w:t xml:space="preserve"> and</w:t>
      </w:r>
      <w:r w:rsidRPr="00AB441A">
        <w:t xml:space="preserve"> include a 20% margin for financial sustainability: </w:t>
      </w:r>
    </w:p>
    <w:tbl>
      <w:tblPr>
        <w:tblStyle w:val="GridTable6Colorful-Accent1"/>
        <w:tblW w:w="9067" w:type="dxa"/>
        <w:tblLook w:val="04A0" w:firstRow="1" w:lastRow="0" w:firstColumn="1" w:lastColumn="0" w:noHBand="0" w:noVBand="1"/>
      </w:tblPr>
      <w:tblGrid>
        <w:gridCol w:w="2457"/>
        <w:gridCol w:w="5335"/>
        <w:gridCol w:w="1275"/>
      </w:tblGrid>
      <w:tr w:rsidR="00817EEF" w14:paraId="6B6597E8" w14:textId="77777777" w:rsidTr="007833F0">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57" w:type="dxa"/>
            <w:shd w:val="clear" w:color="auto" w:fill="0070C0"/>
            <w:noWrap/>
            <w:vAlign w:val="center"/>
            <w:hideMark/>
          </w:tcPr>
          <w:p w14:paraId="2E5A071A" w14:textId="77777777" w:rsidR="00817EEF" w:rsidRDefault="00817EEF" w:rsidP="007833F0">
            <w:pPr>
              <w:pStyle w:val="xmsonormal"/>
              <w:spacing w:before="60" w:after="60" w:line="276" w:lineRule="auto"/>
            </w:pPr>
            <w:r>
              <w:rPr>
                <w:color w:val="FFFFFF"/>
              </w:rPr>
              <w:t>Category (Recurring)</w:t>
            </w:r>
          </w:p>
        </w:tc>
        <w:tc>
          <w:tcPr>
            <w:tcW w:w="5335" w:type="dxa"/>
            <w:shd w:val="clear" w:color="auto" w:fill="0070C0"/>
            <w:vAlign w:val="center"/>
            <w:hideMark/>
          </w:tcPr>
          <w:p w14:paraId="4ECF2BA3" w14:textId="77777777" w:rsidR="00817EEF" w:rsidRDefault="00817EEF" w:rsidP="007833F0">
            <w:pPr>
              <w:pStyle w:val="xmsonormal"/>
              <w:spacing w:before="60" w:after="60" w:line="276" w:lineRule="auto"/>
              <w:cnfStyle w:val="100000000000" w:firstRow="1" w:lastRow="0" w:firstColumn="0" w:lastColumn="0" w:oddVBand="0" w:evenVBand="0" w:oddHBand="0" w:evenHBand="0" w:firstRowFirstColumn="0" w:firstRowLastColumn="0" w:lastRowFirstColumn="0" w:lastRowLastColumn="0"/>
            </w:pPr>
            <w:r>
              <w:rPr>
                <w:color w:val="FFFFFF"/>
              </w:rPr>
              <w:t>Description</w:t>
            </w:r>
          </w:p>
        </w:tc>
        <w:tc>
          <w:tcPr>
            <w:tcW w:w="1275" w:type="dxa"/>
            <w:shd w:val="clear" w:color="auto" w:fill="0070C0"/>
            <w:vAlign w:val="center"/>
          </w:tcPr>
          <w:p w14:paraId="085845BF" w14:textId="7D08BF58" w:rsidR="00817EEF" w:rsidRDefault="00817EEF" w:rsidP="007833F0">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rPr>
            </w:pPr>
            <w:r>
              <w:rPr>
                <w:color w:val="FFFFFF"/>
              </w:rPr>
              <w:t>Amount</w:t>
            </w:r>
          </w:p>
        </w:tc>
      </w:tr>
      <w:tr w:rsidR="00817EEF" w14:paraId="359ED70C" w14:textId="77777777" w:rsidTr="00C13BC5">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33819418" w14:textId="77777777" w:rsidR="00817EEF" w:rsidRDefault="00817EEF" w:rsidP="007833F0">
            <w:pPr>
              <w:pStyle w:val="xmsonormal"/>
              <w:spacing w:before="60" w:after="60" w:line="276" w:lineRule="auto"/>
            </w:pPr>
            <w:r>
              <w:t>Technology &amp; Operations</w:t>
            </w:r>
          </w:p>
        </w:tc>
        <w:tc>
          <w:tcPr>
            <w:tcW w:w="5335" w:type="dxa"/>
            <w:vAlign w:val="center"/>
            <w:hideMark/>
          </w:tcPr>
          <w:p w14:paraId="0D1B3D74" w14:textId="1ADBCAAB" w:rsidR="00817EEF" w:rsidRDefault="00817EEF" w:rsidP="007833F0">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pPr>
            <w:r>
              <w:t>Operation of the DSB platform including technical and asset class support</w:t>
            </w:r>
          </w:p>
        </w:tc>
        <w:tc>
          <w:tcPr>
            <w:tcW w:w="1275" w:type="dxa"/>
            <w:vAlign w:val="center"/>
          </w:tcPr>
          <w:p w14:paraId="6EFE9207" w14:textId="031D258A" w:rsidR="00817EEF" w:rsidRPr="000E0014" w:rsidRDefault="00817EEF" w:rsidP="007833F0">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shd w:val="clear" w:color="auto" w:fill="00FFFF"/>
              </w:rPr>
            </w:pPr>
            <w:r>
              <w:t>€5,369K</w:t>
            </w:r>
          </w:p>
        </w:tc>
      </w:tr>
      <w:tr w:rsidR="00817EEF" w14:paraId="6490CA4A" w14:textId="77777777" w:rsidTr="00C13BC5">
        <w:trPr>
          <w:trHeight w:val="712"/>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2C4A51C2" w14:textId="77777777" w:rsidR="00817EEF" w:rsidRDefault="00817EEF" w:rsidP="007833F0">
            <w:pPr>
              <w:pStyle w:val="xmsonormal"/>
              <w:spacing w:before="60" w:after="60" w:line="276" w:lineRule="auto"/>
            </w:pPr>
            <w:r>
              <w:t>Management</w:t>
            </w:r>
          </w:p>
        </w:tc>
        <w:tc>
          <w:tcPr>
            <w:tcW w:w="5335" w:type="dxa"/>
            <w:vAlign w:val="center"/>
            <w:hideMark/>
          </w:tcPr>
          <w:p w14:paraId="3A2F5C50" w14:textId="3E98C131" w:rsidR="00817EEF" w:rsidRDefault="00817EEF" w:rsidP="007833F0">
            <w:pPr>
              <w:pStyle w:val="xmsonormal"/>
              <w:spacing w:before="60" w:after="60" w:line="276" w:lineRule="auto"/>
              <w:cnfStyle w:val="000000000000" w:firstRow="0" w:lastRow="0" w:firstColumn="0" w:lastColumn="0" w:oddVBand="0" w:evenVBand="0" w:oddHBand="0" w:evenHBand="0" w:firstRowFirstColumn="0" w:firstRowLastColumn="0" w:lastRowFirstColumn="0" w:lastRowLastColumn="0"/>
            </w:pPr>
            <w:r>
              <w:t xml:space="preserve">Senior management team including MD, MSP management team and CFO </w:t>
            </w:r>
          </w:p>
        </w:tc>
        <w:tc>
          <w:tcPr>
            <w:tcW w:w="1275" w:type="dxa"/>
            <w:vAlign w:val="center"/>
          </w:tcPr>
          <w:p w14:paraId="1D65B88D" w14:textId="05384E0B" w:rsidR="00817EEF" w:rsidRPr="005B3835" w:rsidRDefault="00817EEF" w:rsidP="007833F0">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highlight w:val="lightGray"/>
                <w:shd w:val="clear" w:color="auto" w:fill="00FFFF"/>
              </w:rPr>
            </w:pPr>
            <w:r>
              <w:t>€1,430K</w:t>
            </w:r>
          </w:p>
        </w:tc>
      </w:tr>
      <w:tr w:rsidR="00817EEF" w14:paraId="23DB3048" w14:textId="77777777" w:rsidTr="00C13BC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21AD7797" w14:textId="30D6D5AE" w:rsidR="00817EEF" w:rsidRDefault="00817EEF" w:rsidP="007833F0">
            <w:pPr>
              <w:pStyle w:val="xmsonormal"/>
              <w:spacing w:before="60" w:after="60" w:line="276" w:lineRule="auto"/>
            </w:pPr>
            <w:r>
              <w:t>Administration</w:t>
            </w:r>
          </w:p>
        </w:tc>
        <w:tc>
          <w:tcPr>
            <w:tcW w:w="5335" w:type="dxa"/>
            <w:vAlign w:val="center"/>
            <w:hideMark/>
          </w:tcPr>
          <w:p w14:paraId="16D19541" w14:textId="08A59285" w:rsidR="00817EEF" w:rsidRDefault="00817EEF" w:rsidP="007833F0">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pPr>
            <w:r>
              <w:t xml:space="preserve">Administrative costs and overheads such as office space, travel and expenses and administrative support functions </w:t>
            </w:r>
          </w:p>
        </w:tc>
        <w:tc>
          <w:tcPr>
            <w:tcW w:w="1275" w:type="dxa"/>
            <w:vAlign w:val="center"/>
          </w:tcPr>
          <w:p w14:paraId="31B5CEB1" w14:textId="52F2AC17" w:rsidR="00817EEF" w:rsidRPr="005B3835" w:rsidRDefault="00817EEF" w:rsidP="007833F0">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highlight w:val="lightGray"/>
                <w:shd w:val="clear" w:color="auto" w:fill="00FFFF"/>
              </w:rPr>
            </w:pPr>
            <w:r>
              <w:t>€829K</w:t>
            </w:r>
          </w:p>
        </w:tc>
      </w:tr>
      <w:tr w:rsidR="00817EEF" w14:paraId="366D3E44" w14:textId="77777777" w:rsidTr="00C13BC5">
        <w:trPr>
          <w:trHeight w:val="409"/>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2AD807BF" w14:textId="77777777" w:rsidR="00817EEF" w:rsidRDefault="00817EEF" w:rsidP="007833F0">
            <w:pPr>
              <w:pStyle w:val="xmsonormal"/>
              <w:spacing w:before="60" w:after="60" w:line="276" w:lineRule="auto"/>
            </w:pPr>
            <w:r>
              <w:t>External consultants</w:t>
            </w:r>
          </w:p>
        </w:tc>
        <w:tc>
          <w:tcPr>
            <w:tcW w:w="5335" w:type="dxa"/>
            <w:vAlign w:val="center"/>
            <w:hideMark/>
          </w:tcPr>
          <w:p w14:paraId="3CADF474" w14:textId="6E8D7EA7" w:rsidR="00817EEF" w:rsidRDefault="00817EEF" w:rsidP="007833F0">
            <w:pPr>
              <w:pStyle w:val="xmsonormal"/>
              <w:spacing w:before="60" w:after="60" w:line="276" w:lineRule="auto"/>
              <w:cnfStyle w:val="000000000000" w:firstRow="0" w:lastRow="0" w:firstColumn="0" w:lastColumn="0" w:oddVBand="0" w:evenVBand="0" w:oddHBand="0" w:evenHBand="0" w:firstRowFirstColumn="0" w:firstRowLastColumn="0" w:lastRowFirstColumn="0" w:lastRowLastColumn="0"/>
            </w:pPr>
            <w:r>
              <w:t xml:space="preserve">External oversight and legal, professional &amp; communication </w:t>
            </w:r>
          </w:p>
        </w:tc>
        <w:tc>
          <w:tcPr>
            <w:tcW w:w="1275" w:type="dxa"/>
            <w:vAlign w:val="center"/>
          </w:tcPr>
          <w:p w14:paraId="5B3CCF8E" w14:textId="4540CB86" w:rsidR="00817EEF" w:rsidRPr="005B3835" w:rsidRDefault="00817EEF" w:rsidP="007833F0">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highlight w:val="lightGray"/>
                <w:shd w:val="clear" w:color="auto" w:fill="00FFFF"/>
              </w:rPr>
            </w:pPr>
            <w:r>
              <w:t>€414K</w:t>
            </w:r>
          </w:p>
        </w:tc>
      </w:tr>
      <w:tr w:rsidR="00817EEF" w14:paraId="5F2F4923" w14:textId="77777777" w:rsidTr="00C13BC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57" w:type="dxa"/>
            <w:noWrap/>
            <w:vAlign w:val="center"/>
          </w:tcPr>
          <w:p w14:paraId="17FA8BAD" w14:textId="75FCE485" w:rsidR="00817EEF" w:rsidRPr="00F336AC" w:rsidRDefault="00817EEF" w:rsidP="007833F0">
            <w:pPr>
              <w:pStyle w:val="xmsonormal"/>
              <w:spacing w:before="60" w:after="60" w:line="276" w:lineRule="auto"/>
              <w:rPr>
                <w:bCs w:val="0"/>
              </w:rPr>
            </w:pPr>
            <w:r w:rsidRPr="00F336AC">
              <w:t>Previous Year Ope</w:t>
            </w:r>
            <w:r>
              <w:t xml:space="preserve">rating Expenditure Adjustment </w:t>
            </w:r>
          </w:p>
        </w:tc>
        <w:tc>
          <w:tcPr>
            <w:tcW w:w="5335" w:type="dxa"/>
            <w:vAlign w:val="center"/>
          </w:tcPr>
          <w:p w14:paraId="01CD1E94" w14:textId="4058C540" w:rsidR="00817EEF" w:rsidRDefault="00817EEF" w:rsidP="007833F0">
            <w:pPr>
              <w:pStyle w:val="xmsonormal"/>
              <w:spacing w:before="60" w:after="60" w:line="276" w:lineRule="auto"/>
              <w:cnfStyle w:val="000000100000" w:firstRow="0" w:lastRow="0" w:firstColumn="0" w:lastColumn="0" w:oddVBand="0" w:evenVBand="0" w:oddHBand="1" w:evenHBand="0" w:firstRowFirstColumn="0" w:firstRowLastColumn="0" w:lastRowFirstColumn="0" w:lastRowLastColumn="0"/>
              <w:rPr>
                <w:b/>
                <w:bCs/>
              </w:rPr>
            </w:pPr>
            <w:r>
              <w:rPr>
                <w:b/>
                <w:bCs/>
              </w:rPr>
              <w:t xml:space="preserve">Reflects the budgeted reduction in user fees </w:t>
            </w:r>
          </w:p>
        </w:tc>
        <w:tc>
          <w:tcPr>
            <w:tcW w:w="1275" w:type="dxa"/>
            <w:vAlign w:val="center"/>
          </w:tcPr>
          <w:p w14:paraId="4DBDED70" w14:textId="2893FFB1" w:rsidR="00817EEF" w:rsidRPr="005B3835" w:rsidRDefault="00817EEF" w:rsidP="007833F0">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highlight w:val="lightGray"/>
                <w:shd w:val="clear" w:color="auto" w:fill="FFFF00"/>
              </w:rPr>
            </w:pPr>
            <w:r>
              <w:rPr>
                <w:b/>
                <w:bCs/>
              </w:rPr>
              <w:t>-€283K</w:t>
            </w:r>
          </w:p>
        </w:tc>
      </w:tr>
      <w:tr w:rsidR="00817EEF" w14:paraId="4533E16A" w14:textId="77777777" w:rsidTr="007833F0">
        <w:trPr>
          <w:trHeight w:val="431"/>
        </w:trPr>
        <w:tc>
          <w:tcPr>
            <w:cnfStyle w:val="001000000000" w:firstRow="0" w:lastRow="0" w:firstColumn="1" w:lastColumn="0" w:oddVBand="0" w:evenVBand="0" w:oddHBand="0" w:evenHBand="0" w:firstRowFirstColumn="0" w:firstRowLastColumn="0" w:lastRowFirstColumn="0" w:lastRowLastColumn="0"/>
            <w:tcW w:w="7792" w:type="dxa"/>
            <w:gridSpan w:val="2"/>
            <w:shd w:val="clear" w:color="auto" w:fill="0070C0"/>
            <w:noWrap/>
            <w:vAlign w:val="center"/>
            <w:hideMark/>
          </w:tcPr>
          <w:p w14:paraId="3D6F5511" w14:textId="61ED0130" w:rsidR="00817EEF" w:rsidRPr="00E6051B" w:rsidRDefault="00817EEF" w:rsidP="007833F0">
            <w:pPr>
              <w:pStyle w:val="xmsonormal"/>
              <w:spacing w:before="60" w:after="60" w:line="276" w:lineRule="auto"/>
              <w:rPr>
                <w:b w:val="0"/>
                <w:bCs w:val="0"/>
                <w:color w:val="FFFFFF" w:themeColor="background1"/>
              </w:rPr>
            </w:pPr>
            <w:r w:rsidRPr="00E6051B">
              <w:rPr>
                <w:color w:val="FFFFFF" w:themeColor="background1"/>
              </w:rPr>
              <w:t xml:space="preserve">Total </w:t>
            </w:r>
          </w:p>
        </w:tc>
        <w:tc>
          <w:tcPr>
            <w:tcW w:w="1275" w:type="dxa"/>
            <w:shd w:val="clear" w:color="auto" w:fill="0070C0"/>
            <w:vAlign w:val="center"/>
          </w:tcPr>
          <w:p w14:paraId="27952B11" w14:textId="5C537CF5" w:rsidR="00817EEF" w:rsidRPr="00E6051B" w:rsidRDefault="00817EEF" w:rsidP="007833F0">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highlight w:val="lightGray"/>
                <w:shd w:val="clear" w:color="auto" w:fill="00FFFF"/>
              </w:rPr>
            </w:pPr>
            <w:r w:rsidRPr="00E6051B">
              <w:rPr>
                <w:b/>
                <w:color w:val="FFFFFF" w:themeColor="background1"/>
              </w:rPr>
              <w:t>€7,759K</w:t>
            </w:r>
          </w:p>
        </w:tc>
      </w:tr>
    </w:tbl>
    <w:p w14:paraId="647DE337" w14:textId="36CC731A" w:rsidR="00503CC3" w:rsidRPr="001401C6" w:rsidRDefault="00503CC3" w:rsidP="00503CC3">
      <w:pPr>
        <w:spacing w:line="276" w:lineRule="auto"/>
        <w:rPr>
          <w:sz w:val="12"/>
        </w:rPr>
      </w:pPr>
    </w:p>
    <w:tbl>
      <w:tblPr>
        <w:tblStyle w:val="GridTable6Colorful-Accent1"/>
        <w:tblW w:w="9067" w:type="dxa"/>
        <w:tblLook w:val="04A0" w:firstRow="1" w:lastRow="0" w:firstColumn="1" w:lastColumn="0" w:noHBand="0" w:noVBand="1"/>
      </w:tblPr>
      <w:tblGrid>
        <w:gridCol w:w="2518"/>
        <w:gridCol w:w="5274"/>
        <w:gridCol w:w="1275"/>
      </w:tblGrid>
      <w:tr w:rsidR="004E1F4D" w14:paraId="7DACD4C2" w14:textId="77777777" w:rsidTr="006E37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shd w:val="clear" w:color="auto" w:fill="0070C0"/>
            <w:noWrap/>
            <w:vAlign w:val="center"/>
            <w:hideMark/>
          </w:tcPr>
          <w:p w14:paraId="5E3D1648" w14:textId="77777777" w:rsidR="004E1F4D" w:rsidRDefault="004E1F4D" w:rsidP="007833F0">
            <w:pPr>
              <w:pStyle w:val="xmsonormal"/>
              <w:spacing w:before="60" w:after="60" w:line="276" w:lineRule="auto"/>
            </w:pPr>
            <w:r>
              <w:rPr>
                <w:color w:val="FFFFFF"/>
              </w:rPr>
              <w:t>Category (Time-limited)</w:t>
            </w:r>
          </w:p>
        </w:tc>
        <w:tc>
          <w:tcPr>
            <w:tcW w:w="5274" w:type="dxa"/>
            <w:shd w:val="clear" w:color="auto" w:fill="0070C0"/>
            <w:vAlign w:val="center"/>
            <w:hideMark/>
          </w:tcPr>
          <w:p w14:paraId="688CC31D" w14:textId="77777777" w:rsidR="004E1F4D" w:rsidRDefault="004E1F4D" w:rsidP="007833F0">
            <w:pPr>
              <w:pStyle w:val="xmsonormal"/>
              <w:spacing w:before="60" w:after="60" w:line="276" w:lineRule="auto"/>
              <w:cnfStyle w:val="100000000000" w:firstRow="1" w:lastRow="0" w:firstColumn="0" w:lastColumn="0" w:oddVBand="0" w:evenVBand="0" w:oddHBand="0" w:evenHBand="0" w:firstRowFirstColumn="0" w:firstRowLastColumn="0" w:lastRowFirstColumn="0" w:lastRowLastColumn="0"/>
            </w:pPr>
            <w:r>
              <w:rPr>
                <w:color w:val="FFFFFF"/>
              </w:rPr>
              <w:t>Description</w:t>
            </w:r>
          </w:p>
        </w:tc>
        <w:tc>
          <w:tcPr>
            <w:tcW w:w="1275" w:type="dxa"/>
            <w:shd w:val="clear" w:color="auto" w:fill="0070C0"/>
            <w:vAlign w:val="center"/>
          </w:tcPr>
          <w:p w14:paraId="7CD0521A" w14:textId="214549F4" w:rsidR="004E1F4D" w:rsidRDefault="004E1F4D" w:rsidP="007833F0">
            <w:pPr>
              <w:pStyle w:val="xmsonormal"/>
              <w:spacing w:before="60" w:after="60" w:line="276" w:lineRule="auto"/>
              <w:cnfStyle w:val="100000000000" w:firstRow="1" w:lastRow="0" w:firstColumn="0" w:lastColumn="0" w:oddVBand="0" w:evenVBand="0" w:oddHBand="0" w:evenHBand="0" w:firstRowFirstColumn="0" w:firstRowLastColumn="0" w:lastRowFirstColumn="0" w:lastRowLastColumn="0"/>
              <w:rPr>
                <w:color w:val="FFFFFF"/>
              </w:rPr>
            </w:pPr>
            <w:r>
              <w:rPr>
                <w:color w:val="FFFFFF"/>
              </w:rPr>
              <w:t>Amount</w:t>
            </w:r>
          </w:p>
        </w:tc>
      </w:tr>
      <w:tr w:rsidR="004E1F4D" w14:paraId="4CF4DFE8" w14:textId="77777777" w:rsidTr="006E3714">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6A6B1747" w14:textId="5651EB89" w:rsidR="004E1F4D" w:rsidRDefault="004E1F4D" w:rsidP="006E3714">
            <w:pPr>
              <w:pStyle w:val="xmsonormal"/>
              <w:spacing w:before="120" w:after="120" w:line="276" w:lineRule="auto"/>
            </w:pPr>
            <w:r>
              <w:t>Start-up costs</w:t>
            </w:r>
          </w:p>
        </w:tc>
        <w:tc>
          <w:tcPr>
            <w:tcW w:w="5274" w:type="dxa"/>
            <w:vAlign w:val="center"/>
            <w:hideMark/>
          </w:tcPr>
          <w:p w14:paraId="2968E1ED" w14:textId="1CFD618E" w:rsidR="004E1F4D" w:rsidRDefault="004E1F4D" w:rsidP="006E3714">
            <w:pPr>
              <w:pStyle w:val="xmsonormal"/>
              <w:spacing w:before="120" w:after="120" w:line="276" w:lineRule="auto"/>
              <w:cnfStyle w:val="000000100000" w:firstRow="0" w:lastRow="0" w:firstColumn="0" w:lastColumn="0" w:oddVBand="0" w:evenVBand="0" w:oddHBand="1" w:evenHBand="0" w:firstRowFirstColumn="0" w:firstRowLastColumn="0" w:lastRowFirstColumn="0" w:lastRowLastColumn="0"/>
            </w:pPr>
            <w:r>
              <w:t xml:space="preserve">Amortization of start-up costs over the first 4 years </w:t>
            </w:r>
          </w:p>
        </w:tc>
        <w:tc>
          <w:tcPr>
            <w:tcW w:w="1275" w:type="dxa"/>
            <w:vAlign w:val="center"/>
          </w:tcPr>
          <w:p w14:paraId="78E7EDCA" w14:textId="3F945356" w:rsidR="004E1F4D" w:rsidRPr="005B3835" w:rsidRDefault="004E1F4D" w:rsidP="006E3714">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highlight w:val="lightGray"/>
                <w:shd w:val="clear" w:color="auto" w:fill="00FFFF"/>
              </w:rPr>
            </w:pPr>
            <w:r>
              <w:t>€1,142K</w:t>
            </w:r>
          </w:p>
        </w:tc>
      </w:tr>
      <w:tr w:rsidR="004E1F4D" w14:paraId="2B15013D" w14:textId="77777777" w:rsidTr="006E3714">
        <w:trPr>
          <w:trHeight w:val="427"/>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693EAAB5" w14:textId="77777777" w:rsidR="004E1F4D" w:rsidRDefault="004E1F4D" w:rsidP="006E3714">
            <w:pPr>
              <w:pStyle w:val="xmsonormal"/>
              <w:spacing w:before="120" w:after="120" w:line="276" w:lineRule="auto"/>
            </w:pPr>
            <w:r>
              <w:t>Financing costs</w:t>
            </w:r>
          </w:p>
        </w:tc>
        <w:tc>
          <w:tcPr>
            <w:tcW w:w="5274" w:type="dxa"/>
            <w:vAlign w:val="center"/>
            <w:hideMark/>
          </w:tcPr>
          <w:p w14:paraId="2427E362" w14:textId="4476A0F8" w:rsidR="004E1F4D" w:rsidRDefault="004E1F4D" w:rsidP="006E3714">
            <w:pPr>
              <w:pStyle w:val="xmsonormal"/>
              <w:spacing w:before="120" w:after="120" w:line="276" w:lineRule="auto"/>
              <w:cnfStyle w:val="000000000000" w:firstRow="0" w:lastRow="0" w:firstColumn="0" w:lastColumn="0" w:oddVBand="0" w:evenVBand="0" w:oddHBand="0" w:evenHBand="0" w:firstRowFirstColumn="0" w:firstRowLastColumn="0" w:lastRowFirstColumn="0" w:lastRowLastColumn="0"/>
            </w:pPr>
            <w:r>
              <w:t xml:space="preserve">Start-up loan interest costs repaid over 4 years </w:t>
            </w:r>
          </w:p>
        </w:tc>
        <w:tc>
          <w:tcPr>
            <w:tcW w:w="1275" w:type="dxa"/>
            <w:vAlign w:val="center"/>
          </w:tcPr>
          <w:p w14:paraId="173BF5F6" w14:textId="160A1600" w:rsidR="004E1F4D" w:rsidRPr="005B3835" w:rsidRDefault="004E1F4D" w:rsidP="006E3714">
            <w:pPr>
              <w:pStyle w:val="xmsonormal"/>
              <w:spacing w:before="120" w:after="120" w:line="276" w:lineRule="auto"/>
              <w:jc w:val="right"/>
              <w:cnfStyle w:val="000000000000" w:firstRow="0" w:lastRow="0" w:firstColumn="0" w:lastColumn="0" w:oddVBand="0" w:evenVBand="0" w:oddHBand="0" w:evenHBand="0" w:firstRowFirstColumn="0" w:firstRowLastColumn="0" w:lastRowFirstColumn="0" w:lastRowLastColumn="0"/>
              <w:rPr>
                <w:highlight w:val="lightGray"/>
                <w:shd w:val="clear" w:color="auto" w:fill="00FFFF"/>
              </w:rPr>
            </w:pPr>
            <w:r>
              <w:t>€240K</w:t>
            </w:r>
          </w:p>
        </w:tc>
      </w:tr>
      <w:tr w:rsidR="004E1F4D" w:rsidRPr="00F336AC" w14:paraId="59D8A5AA" w14:textId="77777777" w:rsidTr="007833F0">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5FDD56BA" w14:textId="77777777" w:rsidR="004E1F4D" w:rsidRPr="005B3835" w:rsidRDefault="004E1F4D" w:rsidP="006E3714">
            <w:pPr>
              <w:pStyle w:val="xmsonormal"/>
              <w:spacing w:before="120" w:after="120" w:line="276" w:lineRule="auto"/>
            </w:pPr>
            <w:r w:rsidRPr="005B3835">
              <w:t>Contingency</w:t>
            </w:r>
          </w:p>
        </w:tc>
        <w:tc>
          <w:tcPr>
            <w:tcW w:w="5274" w:type="dxa"/>
            <w:vAlign w:val="center"/>
            <w:hideMark/>
          </w:tcPr>
          <w:p w14:paraId="4955080B" w14:textId="296790E4" w:rsidR="004E1F4D" w:rsidRPr="005B3835" w:rsidRDefault="004E1F4D" w:rsidP="006E3714">
            <w:pPr>
              <w:pStyle w:val="xmsonormal"/>
              <w:spacing w:before="120" w:after="120" w:line="276" w:lineRule="auto"/>
              <w:cnfStyle w:val="000000100000" w:firstRow="0" w:lastRow="0" w:firstColumn="0" w:lastColumn="0" w:oddVBand="0" w:evenVBand="0" w:oddHBand="1" w:evenHBand="0" w:firstRowFirstColumn="0" w:firstRowLastColumn="0" w:lastRowFirstColumn="0" w:lastRowLastColumn="0"/>
            </w:pPr>
            <w:r w:rsidRPr="005B3835">
              <w:t>An annual contingency fund to cover unplanned costs during the initial few years of operation. For example, if industry were to request the DSB to provide additional services within the cost-recovery mandate</w:t>
            </w:r>
            <w:r>
              <w:t xml:space="preserve"> </w:t>
            </w:r>
          </w:p>
        </w:tc>
        <w:tc>
          <w:tcPr>
            <w:tcW w:w="1275" w:type="dxa"/>
            <w:vAlign w:val="center"/>
          </w:tcPr>
          <w:p w14:paraId="72EC2DFF" w14:textId="052E4529" w:rsidR="004E1F4D" w:rsidRPr="005B3835" w:rsidRDefault="004E1F4D" w:rsidP="006E3714">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highlight w:val="lightGray"/>
                <w:shd w:val="clear" w:color="auto" w:fill="00FFFF"/>
              </w:rPr>
            </w:pPr>
            <w:r>
              <w:t>€0K</w:t>
            </w:r>
          </w:p>
        </w:tc>
      </w:tr>
      <w:tr w:rsidR="004E1F4D" w14:paraId="184B3C95" w14:textId="77777777" w:rsidTr="006E3714">
        <w:trPr>
          <w:trHeight w:val="425"/>
        </w:trPr>
        <w:tc>
          <w:tcPr>
            <w:cnfStyle w:val="001000000000" w:firstRow="0" w:lastRow="0" w:firstColumn="1" w:lastColumn="0" w:oddVBand="0" w:evenVBand="0" w:oddHBand="0" w:evenHBand="0" w:firstRowFirstColumn="0" w:firstRowLastColumn="0" w:lastRowFirstColumn="0" w:lastRowLastColumn="0"/>
            <w:tcW w:w="2518" w:type="dxa"/>
            <w:shd w:val="clear" w:color="auto" w:fill="0070C0"/>
            <w:noWrap/>
            <w:vAlign w:val="center"/>
            <w:hideMark/>
          </w:tcPr>
          <w:p w14:paraId="67584E56" w14:textId="77777777" w:rsidR="004E1F4D" w:rsidRPr="00E6051B" w:rsidRDefault="004E1F4D" w:rsidP="007833F0">
            <w:pPr>
              <w:pStyle w:val="xmsonormal"/>
              <w:spacing w:before="60" w:after="60" w:line="276" w:lineRule="auto"/>
              <w:rPr>
                <w:color w:val="FFFFFF" w:themeColor="background1"/>
              </w:rPr>
            </w:pPr>
            <w:r w:rsidRPr="00E6051B">
              <w:rPr>
                <w:color w:val="FFFFFF" w:themeColor="background1"/>
              </w:rPr>
              <w:t>Total</w:t>
            </w:r>
          </w:p>
        </w:tc>
        <w:tc>
          <w:tcPr>
            <w:tcW w:w="5274" w:type="dxa"/>
            <w:shd w:val="clear" w:color="auto" w:fill="0070C0"/>
            <w:vAlign w:val="center"/>
            <w:hideMark/>
          </w:tcPr>
          <w:p w14:paraId="41C22271" w14:textId="1040E5A3" w:rsidR="004E1F4D" w:rsidRPr="00E6051B" w:rsidRDefault="004E1F4D" w:rsidP="007833F0">
            <w:pPr>
              <w:pStyle w:val="xmsonormal"/>
              <w:spacing w:before="60" w:after="60"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051B">
              <w:rPr>
                <w:color w:val="FFFFFF" w:themeColor="background1"/>
              </w:rPr>
              <w:t> </w:t>
            </w:r>
          </w:p>
        </w:tc>
        <w:tc>
          <w:tcPr>
            <w:tcW w:w="1275" w:type="dxa"/>
            <w:shd w:val="clear" w:color="auto" w:fill="0070C0"/>
            <w:vAlign w:val="center"/>
          </w:tcPr>
          <w:p w14:paraId="62ABB254" w14:textId="24B6567D" w:rsidR="004E1F4D" w:rsidRPr="00E6051B" w:rsidRDefault="004E1F4D" w:rsidP="007833F0">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highlight w:val="lightGray"/>
                <w:shd w:val="clear" w:color="auto" w:fill="00FFFF"/>
              </w:rPr>
            </w:pPr>
            <w:r w:rsidRPr="00E6051B">
              <w:rPr>
                <w:b/>
                <w:color w:val="FFFFFF" w:themeColor="background1"/>
              </w:rPr>
              <w:t>€1,382K</w:t>
            </w:r>
          </w:p>
        </w:tc>
      </w:tr>
    </w:tbl>
    <w:p w14:paraId="3F9E341D" w14:textId="77777777" w:rsidR="00FF6FF6" w:rsidRDefault="001C032B" w:rsidP="00B816C0">
      <w:pPr>
        <w:pStyle w:val="Heading2"/>
        <w:spacing w:after="120"/>
        <w:ind w:left="578" w:hanging="578"/>
      </w:pPr>
      <w:bookmarkStart w:id="137" w:name="_Toc471387452"/>
      <w:bookmarkStart w:id="138" w:name="_Toc471396367"/>
      <w:bookmarkStart w:id="139" w:name="_Toc471396411"/>
      <w:bookmarkStart w:id="140" w:name="_Toc485052496"/>
      <w:bookmarkStart w:id="141" w:name="_Toc485055103"/>
      <w:bookmarkStart w:id="142" w:name="_Toc485057512"/>
      <w:bookmarkStart w:id="143" w:name="_Toc485055110"/>
      <w:bookmarkStart w:id="144" w:name="_Toc485057518"/>
      <w:bookmarkStart w:id="145" w:name="_Ref480385378"/>
      <w:bookmarkStart w:id="146" w:name="_Ref480385384"/>
      <w:bookmarkStart w:id="147" w:name="_Toc517783486"/>
      <w:bookmarkStart w:id="148" w:name="_Toc13087162"/>
      <w:bookmarkStart w:id="149" w:name="_Toc13157248"/>
      <w:bookmarkEnd w:id="137"/>
      <w:bookmarkEnd w:id="138"/>
      <w:bookmarkEnd w:id="139"/>
      <w:bookmarkEnd w:id="140"/>
      <w:bookmarkEnd w:id="141"/>
      <w:bookmarkEnd w:id="142"/>
      <w:bookmarkEnd w:id="143"/>
      <w:bookmarkEnd w:id="144"/>
      <w:r>
        <w:lastRenderedPageBreak/>
        <w:t xml:space="preserve">Appendix 2 - </w:t>
      </w:r>
      <w:r w:rsidR="00522F20">
        <w:t xml:space="preserve">Principles for </w:t>
      </w:r>
      <w:r w:rsidR="005A21FD">
        <w:t xml:space="preserve">Excess </w:t>
      </w:r>
      <w:r w:rsidR="00D20C63">
        <w:t>Fee Income Redistribution</w:t>
      </w:r>
      <w:bookmarkEnd w:id="145"/>
      <w:bookmarkEnd w:id="146"/>
      <w:bookmarkEnd w:id="147"/>
      <w:bookmarkEnd w:id="148"/>
      <w:bookmarkEnd w:id="149"/>
    </w:p>
    <w:p w14:paraId="334217F3" w14:textId="77777777" w:rsidR="00B71AAA" w:rsidRPr="00B71AAA" w:rsidRDefault="005A21FD" w:rsidP="00765BA8">
      <w:pPr>
        <w:spacing w:line="276" w:lineRule="auto"/>
      </w:pPr>
      <w:r>
        <w:t xml:space="preserve">The following principles will guide the use of any excess </w:t>
      </w:r>
      <w:r w:rsidR="0052220B">
        <w:t xml:space="preserve">fee </w:t>
      </w:r>
      <w:r w:rsidR="00191FFD">
        <w:t xml:space="preserve">income </w:t>
      </w:r>
      <w:r>
        <w:t>received by the DSB</w:t>
      </w:r>
      <w:r w:rsidR="0052220B">
        <w:t xml:space="preserve"> – primarily generated </w:t>
      </w:r>
      <w:r w:rsidR="007E6DE6">
        <w:t>because of</w:t>
      </w:r>
      <w:r w:rsidR="0052220B">
        <w:t xml:space="preserve"> late joiners and/ or mid-cycle upgrades</w:t>
      </w:r>
      <w:r w:rsidR="00B71AAA">
        <w:t>:</w:t>
      </w:r>
    </w:p>
    <w:p w14:paraId="099D8FD6" w14:textId="77777777" w:rsidR="00FF6FF6" w:rsidRDefault="005A21FD" w:rsidP="00C30612">
      <w:pPr>
        <w:pStyle w:val="ListParagraph"/>
        <w:numPr>
          <w:ilvl w:val="0"/>
          <w:numId w:val="2"/>
        </w:numPr>
        <w:spacing w:line="276" w:lineRule="auto"/>
      </w:pPr>
      <w:r>
        <w:t xml:space="preserve">100% of the excess </w:t>
      </w:r>
      <w:r w:rsidR="0052220B">
        <w:t>fee income</w:t>
      </w:r>
      <w:r>
        <w:t xml:space="preserve"> will be passed back to </w:t>
      </w:r>
      <w:r w:rsidR="00530580">
        <w:t>DSB Standard</w:t>
      </w:r>
      <w:r w:rsidR="0052220B">
        <w:t xml:space="preserve"> and Power U</w:t>
      </w:r>
      <w:r>
        <w:t>ser</w:t>
      </w:r>
      <w:r w:rsidR="0052220B">
        <w:t>s</w:t>
      </w:r>
    </w:p>
    <w:p w14:paraId="7CA3ADF3" w14:textId="77777777" w:rsidR="00DA0B31" w:rsidRDefault="0078220B" w:rsidP="00C30612">
      <w:pPr>
        <w:pStyle w:val="ListParagraph"/>
        <w:numPr>
          <w:ilvl w:val="0"/>
          <w:numId w:val="2"/>
        </w:numPr>
        <w:spacing w:line="276" w:lineRule="auto"/>
      </w:pPr>
      <w:r>
        <w:t>The mechanism used to address any excess</w:t>
      </w:r>
      <w:r w:rsidR="00941895">
        <w:t xml:space="preserve"> fee income received by the DSB</w:t>
      </w:r>
      <w:r>
        <w:t xml:space="preserve"> should be simple and transparent</w:t>
      </w:r>
    </w:p>
    <w:p w14:paraId="2E553FBC" w14:textId="77777777" w:rsidR="00127C33" w:rsidRDefault="00E33DC2" w:rsidP="00765BA8">
      <w:pPr>
        <w:spacing w:line="276" w:lineRule="auto"/>
      </w:pPr>
      <w:r>
        <w:t xml:space="preserve">Excess </w:t>
      </w:r>
      <w:r w:rsidR="00941895">
        <w:t xml:space="preserve">fee income earned </w:t>
      </w:r>
      <w:r>
        <w:t xml:space="preserve">will be used to reduce the </w:t>
      </w:r>
      <w:r w:rsidR="005A21FD">
        <w:t xml:space="preserve">fees </w:t>
      </w:r>
      <w:r>
        <w:t xml:space="preserve">of the DSB for the following year and will form part of the variables set one month before the start of the </w:t>
      </w:r>
      <w:r w:rsidR="002F4FF9">
        <w:t>annual subscription period</w:t>
      </w:r>
      <w:r w:rsidR="00127C33">
        <w:t xml:space="preserve">. The DSB assumes that most users will roll their annual contracts with the utility. </w:t>
      </w:r>
    </w:p>
    <w:p w14:paraId="177ADDE6" w14:textId="77777777" w:rsidR="00AB4355" w:rsidRDefault="006522C1" w:rsidP="00765BA8">
      <w:pPr>
        <w:spacing w:line="276" w:lineRule="auto"/>
      </w:pPr>
      <w:r>
        <w:t xml:space="preserve">Respondents agreed with the principle of using excess revenue to reduce user fees for the following year.  There were additional suggestions around ensuring any excess is minimized through the calculation of initial fees and offsetting on a firm-by-firm basis.  </w:t>
      </w:r>
    </w:p>
    <w:p w14:paraId="5F9F88C9" w14:textId="77777777" w:rsidR="004C1BD4" w:rsidRDefault="006522C1" w:rsidP="00765BA8">
      <w:pPr>
        <w:spacing w:line="276" w:lineRule="auto"/>
      </w:pPr>
      <w:r>
        <w:t xml:space="preserve">Through the fee model explained in this consultation, the DSB is focused on ensuring that minimal funds are raised although this is balanced against the need for financial stability of a key market utility.  Reallocation on a firm-by-firm basis will only be considered fair if the DSB </w:t>
      </w:r>
      <w:r w:rsidR="00EA24D0">
        <w:t>also account</w:t>
      </w:r>
      <w:r w:rsidR="003A2B05">
        <w:t>s for</w:t>
      </w:r>
      <w:r w:rsidR="00EA24D0">
        <w:t xml:space="preserve"> the exact amount of data and the number of ISINs being used by each firm.  Not only would this analysis be an additional cost, it potentially would also skew the charges against those who ‘acted first’ to create ISINs that were then used by the broader community.  The DSB prefers to keep the return of excess fees simple and reduce the upcoming year’s entire cost base.</w:t>
      </w:r>
    </w:p>
    <w:p w14:paraId="064F64C2" w14:textId="77777777" w:rsidR="00F44D6D" w:rsidRDefault="00F44D6D">
      <w:pPr>
        <w:rPr>
          <w:rFonts w:asciiTheme="majorHAnsi" w:eastAsiaTheme="majorEastAsia" w:hAnsiTheme="majorHAnsi" w:cstheme="majorBidi"/>
          <w:color w:val="2E74B5" w:themeColor="accent1" w:themeShade="BF"/>
          <w:sz w:val="32"/>
          <w:szCs w:val="32"/>
        </w:rPr>
      </w:pPr>
    </w:p>
    <w:p w14:paraId="2ED922DF" w14:textId="77777777" w:rsidR="00112673" w:rsidRDefault="00112673">
      <w:pPr>
        <w:rPr>
          <w:rFonts w:asciiTheme="majorHAnsi" w:eastAsiaTheme="majorEastAsia" w:hAnsiTheme="majorHAnsi" w:cstheme="majorBidi"/>
          <w:color w:val="2E74B5" w:themeColor="accent1" w:themeShade="BF"/>
          <w:sz w:val="26"/>
          <w:szCs w:val="26"/>
        </w:rPr>
      </w:pPr>
      <w:r>
        <w:br w:type="page"/>
      </w:r>
    </w:p>
    <w:p w14:paraId="5B1B87EC" w14:textId="77777777" w:rsidR="003D1857" w:rsidRPr="00DD54E4" w:rsidRDefault="003D1857" w:rsidP="003D1857">
      <w:pPr>
        <w:pStyle w:val="Heading2"/>
      </w:pPr>
      <w:bookmarkStart w:id="150" w:name="_Appendix_3_-"/>
      <w:bookmarkStart w:id="151" w:name="_Toc13087163"/>
      <w:bookmarkStart w:id="152" w:name="_Toc13157249"/>
      <w:bookmarkEnd w:id="150"/>
      <w:r w:rsidRPr="00DD54E4">
        <w:lastRenderedPageBreak/>
        <w:t>Appendix 3 - Second Consultation Questions for Industry</w:t>
      </w:r>
      <w:bookmarkEnd w:id="151"/>
      <w:bookmarkEnd w:id="152"/>
      <w:r w:rsidRPr="00DD54E4">
        <w:t xml:space="preserve"> </w:t>
      </w:r>
    </w:p>
    <w:p w14:paraId="4A3A4A71" w14:textId="77777777" w:rsidR="003D1857" w:rsidRPr="004A5599" w:rsidRDefault="003D1857" w:rsidP="003D1857">
      <w:pPr>
        <w:pStyle w:val="NormalWeb"/>
        <w:spacing w:line="276" w:lineRule="auto"/>
        <w:rPr>
          <w:rFonts w:asciiTheme="minorHAnsi" w:eastAsiaTheme="minorHAnsi" w:hAnsiTheme="minorHAnsi" w:cstheme="minorBidi"/>
          <w:b/>
          <w:sz w:val="22"/>
          <w:szCs w:val="22"/>
          <w:lang w:val="en-GB"/>
        </w:rPr>
      </w:pPr>
      <w:r w:rsidRPr="004A5599">
        <w:rPr>
          <w:rFonts w:asciiTheme="minorHAnsi" w:eastAsiaTheme="minorHAnsi" w:hAnsiTheme="minorHAnsi" w:cstheme="minorBidi"/>
          <w:b/>
          <w:sz w:val="22"/>
          <w:szCs w:val="22"/>
          <w:lang w:val="en-GB"/>
        </w:rPr>
        <w:t xml:space="preserve">Proposed Format for Industry Responses to the DSB Consultations: </w:t>
      </w:r>
    </w:p>
    <w:p w14:paraId="6C3D157D" w14:textId="77777777" w:rsidR="00630496" w:rsidRDefault="00630496" w:rsidP="005505DD">
      <w:pPr>
        <w:pStyle w:val="ListParagraph"/>
        <w:numPr>
          <w:ilvl w:val="0"/>
          <w:numId w:val="3"/>
        </w:numPr>
        <w:spacing w:after="120" w:line="276" w:lineRule="auto"/>
        <w:contextualSpacing w:val="0"/>
      </w:pPr>
      <w:r>
        <w:t xml:space="preserve">Consultation responses should be completed using the form below and emailed to </w:t>
      </w:r>
      <w:hyperlink r:id="rId28" w:history="1">
        <w:r>
          <w:rPr>
            <w:rStyle w:val="Hyperlink"/>
          </w:rPr>
          <w:t>industry_consultation@anna-dsb.com</w:t>
        </w:r>
      </w:hyperlink>
      <w:r>
        <w:t> </w:t>
      </w:r>
    </w:p>
    <w:p w14:paraId="7E6E4335" w14:textId="77777777" w:rsidR="00630496" w:rsidRDefault="00630496" w:rsidP="005505DD">
      <w:pPr>
        <w:pStyle w:val="ListParagraph"/>
        <w:numPr>
          <w:ilvl w:val="0"/>
          <w:numId w:val="3"/>
        </w:numPr>
        <w:spacing w:after="120" w:line="276" w:lineRule="auto"/>
        <w:contextualSpacing w:val="0"/>
      </w:pPr>
      <w:r>
        <w:t>An option is provided for respondents to stipulate whether the response is to be treated as anonymous. Note that all responses are published on the DSB website and are not anonymized unless a specific request is made</w:t>
      </w:r>
    </w:p>
    <w:p w14:paraId="6715508C" w14:textId="77777777" w:rsidR="00630496" w:rsidRDefault="00630496" w:rsidP="005505DD">
      <w:pPr>
        <w:pStyle w:val="ListParagraph"/>
        <w:numPr>
          <w:ilvl w:val="0"/>
          <w:numId w:val="3"/>
        </w:numPr>
        <w:spacing w:after="120" w:line="276" w:lineRule="auto"/>
        <w:contextualSpacing w:val="0"/>
      </w:pPr>
      <w:r>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37BFF449" w14:textId="77777777" w:rsidR="00630496" w:rsidRDefault="00630496" w:rsidP="005505DD">
      <w:pPr>
        <w:pStyle w:val="ListParagraph"/>
        <w:numPr>
          <w:ilvl w:val="0"/>
          <w:numId w:val="3"/>
        </w:numPr>
        <w:spacing w:after="120" w:line="276" w:lineRule="auto"/>
        <w:contextualSpacing w:val="0"/>
      </w:pPr>
      <w:r>
        <w:t xml:space="preserve">As with prior consultations, each organization is permitted a single response </w:t>
      </w:r>
    </w:p>
    <w:p w14:paraId="5A0B5DCC" w14:textId="02863727" w:rsidR="00630496" w:rsidRDefault="00630496" w:rsidP="005505DD">
      <w:pPr>
        <w:pStyle w:val="ListParagraph"/>
        <w:numPr>
          <w:ilvl w:val="0"/>
          <w:numId w:val="3"/>
        </w:numPr>
        <w:spacing w:after="120" w:line="276" w:lineRule="auto"/>
        <w:contextualSpacing w:val="0"/>
      </w:pPr>
      <w:r>
        <w:t xml:space="preserve">Responses should include details of the type of organization responding to the consultation and its current user category to enable the DSB to analyse client needs in more detail and include anonymized statistics as part of the second consultation report </w:t>
      </w:r>
    </w:p>
    <w:p w14:paraId="011A4DAE" w14:textId="310DBEA7" w:rsidR="00630496" w:rsidRDefault="00630496" w:rsidP="005505DD">
      <w:pPr>
        <w:pStyle w:val="ListParagraph"/>
        <w:numPr>
          <w:ilvl w:val="0"/>
          <w:numId w:val="3"/>
        </w:numPr>
        <w:spacing w:after="120" w:line="276" w:lineRule="auto"/>
        <w:contextualSpacing w:val="0"/>
      </w:pPr>
      <w:r>
        <w:t>Responses must be received by 5pm UTC on Monday 29</w:t>
      </w:r>
      <w:r w:rsidRPr="00630496">
        <w:rPr>
          <w:vertAlign w:val="superscript"/>
        </w:rPr>
        <w:t>th</w:t>
      </w:r>
      <w:r>
        <w:t xml:space="preserve"> July 2019 </w:t>
      </w:r>
    </w:p>
    <w:p w14:paraId="6922B545" w14:textId="0228D07E" w:rsidR="00630496" w:rsidRDefault="00630496" w:rsidP="005505DD">
      <w:pPr>
        <w:pStyle w:val="ListParagraph"/>
        <w:numPr>
          <w:ilvl w:val="0"/>
          <w:numId w:val="3"/>
        </w:numPr>
        <w:spacing w:after="120" w:line="276" w:lineRule="auto"/>
        <w:ind w:left="714" w:hanging="357"/>
        <w:contextualSpacing w:val="0"/>
      </w:pPr>
      <w:r>
        <w:t>A webinar to address consultation related queries will take place on Thursday 1</w:t>
      </w:r>
      <w:r w:rsidR="006E27CD">
        <w:t>1</w:t>
      </w:r>
      <w:r w:rsidRPr="005B3D59">
        <w:rPr>
          <w:vertAlign w:val="superscript"/>
        </w:rPr>
        <w:t>th</w:t>
      </w:r>
      <w:r>
        <w:t xml:space="preserve"> </w:t>
      </w:r>
      <w:r w:rsidR="006E27CD">
        <w:t>July 201</w:t>
      </w:r>
      <w:r>
        <w:t xml:space="preserve">9. Register for the webinar </w:t>
      </w:r>
      <w:hyperlink r:id="rId29" w:history="1">
        <w:r w:rsidRPr="00DA7FD4">
          <w:rPr>
            <w:rStyle w:val="Hyperlink"/>
          </w:rPr>
          <w:t>here</w:t>
        </w:r>
      </w:hyperlink>
      <w:r w:rsidRPr="00CB4773">
        <w:t>.</w:t>
      </w:r>
      <w:r>
        <w:t> </w:t>
      </w:r>
    </w:p>
    <w:p w14:paraId="73910695" w14:textId="5138F706" w:rsidR="00630496" w:rsidRPr="00734286" w:rsidRDefault="00630496" w:rsidP="005505DD">
      <w:pPr>
        <w:pStyle w:val="ListParagraph"/>
        <w:numPr>
          <w:ilvl w:val="0"/>
          <w:numId w:val="3"/>
        </w:numPr>
        <w:spacing w:after="360" w:line="276" w:lineRule="auto"/>
        <w:ind w:left="714" w:hanging="357"/>
        <w:contextualSpacing w:val="0"/>
        <w:rPr>
          <w:rStyle w:val="Hyperlink"/>
          <w:color w:val="auto"/>
        </w:rPr>
      </w:pPr>
      <w:r>
        <w:t xml:space="preserve">All consultation related queries should be directed to </w:t>
      </w:r>
      <w:hyperlink r:id="rId30" w:history="1">
        <w:r>
          <w:rPr>
            <w:rStyle w:val="Hyperlink"/>
          </w:rPr>
          <w:t>industry_consultation@anna-dsb.com</w:t>
        </w:r>
      </w:hyperlink>
    </w:p>
    <w:p w14:paraId="16BB9E86" w14:textId="430FEAA0" w:rsidR="00E72F19" w:rsidRPr="00E72F19" w:rsidRDefault="00E72F19" w:rsidP="00E72F19">
      <w:pPr>
        <w:pStyle w:val="ETSNORMAL12pt"/>
        <w:spacing w:after="120" w:line="276" w:lineRule="auto"/>
        <w:rPr>
          <w:rFonts w:asciiTheme="minorHAnsi" w:hAnsiTheme="minorHAnsi" w:cstheme="minorHAnsi"/>
          <w:color w:val="0070C0"/>
          <w:sz w:val="26"/>
          <w:szCs w:val="26"/>
        </w:rPr>
      </w:pPr>
      <w:bookmarkStart w:id="153" w:name="_Toc7171256"/>
      <w:bookmarkStart w:id="154" w:name="_Toc8250277"/>
      <w:r>
        <w:rPr>
          <w:rFonts w:asciiTheme="minorHAnsi" w:hAnsiTheme="minorHAnsi" w:cstheme="minorHAnsi"/>
          <w:color w:val="0070C0"/>
        </w:rPr>
        <w:t xml:space="preserve">         </w:t>
      </w:r>
      <w:r w:rsidRPr="00E72F19">
        <w:rPr>
          <w:rFonts w:asciiTheme="minorHAnsi" w:hAnsiTheme="minorHAnsi" w:cstheme="minorHAnsi"/>
          <w:color w:val="0070C0"/>
          <w:sz w:val="26"/>
          <w:szCs w:val="26"/>
        </w:rPr>
        <w:t>Respondent Details</w:t>
      </w:r>
      <w:bookmarkEnd w:id="153"/>
      <w:bookmarkEnd w:id="154"/>
      <w:r w:rsidRPr="00E72F19">
        <w:rPr>
          <w:rFonts w:asciiTheme="minorHAnsi" w:hAnsiTheme="minorHAnsi" w:cstheme="minorHAnsi"/>
          <w:color w:val="0070C0"/>
          <w:sz w:val="26"/>
          <w:szCs w:val="26"/>
        </w:rPr>
        <w:t xml:space="preserve"> </w:t>
      </w:r>
    </w:p>
    <w:tbl>
      <w:tblPr>
        <w:tblStyle w:val="TableGrid"/>
        <w:tblW w:w="9067" w:type="dxa"/>
        <w:tblLook w:val="04A0" w:firstRow="1" w:lastRow="0" w:firstColumn="1" w:lastColumn="0" w:noHBand="0" w:noVBand="1"/>
      </w:tblPr>
      <w:tblGrid>
        <w:gridCol w:w="3964"/>
        <w:gridCol w:w="5103"/>
      </w:tblGrid>
      <w:tr w:rsidR="003D1857" w:rsidRPr="00C45B29" w14:paraId="5F11161C" w14:textId="77777777" w:rsidTr="00DA7FD4">
        <w:trPr>
          <w:trHeight w:val="567"/>
        </w:trPr>
        <w:tc>
          <w:tcPr>
            <w:tcW w:w="3964" w:type="dxa"/>
            <w:vAlign w:val="center"/>
          </w:tcPr>
          <w:p w14:paraId="3ED2DC3E" w14:textId="77777777" w:rsidR="003D1857" w:rsidRPr="00C45B29" w:rsidRDefault="003D1857" w:rsidP="00C45B29">
            <w:pPr>
              <w:spacing w:line="276" w:lineRule="auto"/>
              <w:rPr>
                <w:rFonts w:cstheme="minorHAnsi"/>
              </w:rPr>
            </w:pPr>
            <w:r w:rsidRPr="00C45B29">
              <w:rPr>
                <w:rFonts w:cstheme="minorHAnsi"/>
                <w:b/>
              </w:rPr>
              <w:t>Name</w:t>
            </w:r>
          </w:p>
        </w:tc>
        <w:tc>
          <w:tcPr>
            <w:tcW w:w="5103" w:type="dxa"/>
            <w:vAlign w:val="center"/>
          </w:tcPr>
          <w:p w14:paraId="3A580DAA" w14:textId="77777777" w:rsidR="003D1857" w:rsidRPr="00C45B29" w:rsidRDefault="003D1857" w:rsidP="00C45B29">
            <w:pPr>
              <w:spacing w:line="276" w:lineRule="auto"/>
              <w:rPr>
                <w:rFonts w:cstheme="minorHAnsi"/>
              </w:rPr>
            </w:pPr>
          </w:p>
        </w:tc>
      </w:tr>
      <w:tr w:rsidR="003D1857" w:rsidRPr="00C45B29" w14:paraId="3450CC57" w14:textId="77777777" w:rsidTr="00DA7FD4">
        <w:trPr>
          <w:trHeight w:val="567"/>
        </w:trPr>
        <w:tc>
          <w:tcPr>
            <w:tcW w:w="3964" w:type="dxa"/>
            <w:vAlign w:val="center"/>
          </w:tcPr>
          <w:p w14:paraId="2D8A2AD5" w14:textId="77777777" w:rsidR="003D1857" w:rsidRPr="00DA7FD4" w:rsidRDefault="003D1857" w:rsidP="00C45B29">
            <w:pPr>
              <w:spacing w:line="276" w:lineRule="auto"/>
              <w:rPr>
                <w:rFonts w:cstheme="minorHAnsi"/>
                <w:b/>
                <w:bCs/>
              </w:rPr>
            </w:pPr>
            <w:r w:rsidRPr="00DA7FD4">
              <w:rPr>
                <w:rFonts w:cstheme="minorHAnsi"/>
                <w:b/>
                <w:bCs/>
              </w:rPr>
              <w:t>Email Address</w:t>
            </w:r>
          </w:p>
        </w:tc>
        <w:tc>
          <w:tcPr>
            <w:tcW w:w="5103" w:type="dxa"/>
            <w:vAlign w:val="center"/>
          </w:tcPr>
          <w:p w14:paraId="2899EE1E" w14:textId="77777777" w:rsidR="003D1857" w:rsidRPr="00C45B29" w:rsidRDefault="003D1857" w:rsidP="00C45B29">
            <w:pPr>
              <w:spacing w:line="276" w:lineRule="auto"/>
              <w:rPr>
                <w:rFonts w:cstheme="minorHAnsi"/>
              </w:rPr>
            </w:pPr>
          </w:p>
        </w:tc>
      </w:tr>
      <w:tr w:rsidR="003D1857" w:rsidRPr="00C45B29" w14:paraId="5581E6CD" w14:textId="77777777" w:rsidTr="00DA7FD4">
        <w:trPr>
          <w:trHeight w:val="567"/>
        </w:trPr>
        <w:tc>
          <w:tcPr>
            <w:tcW w:w="3964" w:type="dxa"/>
            <w:vAlign w:val="center"/>
          </w:tcPr>
          <w:p w14:paraId="1ABBFE79" w14:textId="77777777" w:rsidR="003D1857" w:rsidRPr="00DA7FD4" w:rsidRDefault="003D1857" w:rsidP="00C45B29">
            <w:pPr>
              <w:spacing w:line="276" w:lineRule="auto"/>
              <w:rPr>
                <w:rFonts w:cstheme="minorHAnsi"/>
                <w:b/>
                <w:bCs/>
              </w:rPr>
            </w:pPr>
            <w:r w:rsidRPr="00DA7FD4">
              <w:rPr>
                <w:rFonts w:cstheme="minorHAnsi"/>
                <w:b/>
                <w:bCs/>
              </w:rPr>
              <w:t>Company</w:t>
            </w:r>
          </w:p>
        </w:tc>
        <w:tc>
          <w:tcPr>
            <w:tcW w:w="5103" w:type="dxa"/>
            <w:vAlign w:val="center"/>
          </w:tcPr>
          <w:p w14:paraId="391E2BC5" w14:textId="77777777" w:rsidR="003D1857" w:rsidRPr="00C45B29" w:rsidRDefault="003D1857" w:rsidP="00C45B29">
            <w:pPr>
              <w:spacing w:line="276" w:lineRule="auto"/>
              <w:rPr>
                <w:rFonts w:cstheme="minorHAnsi"/>
              </w:rPr>
            </w:pPr>
          </w:p>
        </w:tc>
      </w:tr>
      <w:tr w:rsidR="006D59ED" w:rsidRPr="00C45B29" w14:paraId="1764ACD5" w14:textId="77777777" w:rsidTr="00DA7FD4">
        <w:trPr>
          <w:trHeight w:val="567"/>
        </w:trPr>
        <w:tc>
          <w:tcPr>
            <w:tcW w:w="3964" w:type="dxa"/>
            <w:vAlign w:val="center"/>
          </w:tcPr>
          <w:p w14:paraId="5222EE81" w14:textId="6A28F340" w:rsidR="006D59ED" w:rsidRPr="00DA7FD4" w:rsidRDefault="006D59ED" w:rsidP="00C45B29">
            <w:pPr>
              <w:spacing w:line="276" w:lineRule="auto"/>
              <w:rPr>
                <w:rFonts w:cstheme="minorHAnsi"/>
                <w:b/>
                <w:bCs/>
              </w:rPr>
            </w:pPr>
            <w:r w:rsidRPr="00DA7FD4">
              <w:rPr>
                <w:rFonts w:cstheme="minorHAnsi"/>
                <w:b/>
                <w:bCs/>
              </w:rPr>
              <w:t xml:space="preserve">Country </w:t>
            </w:r>
          </w:p>
        </w:tc>
        <w:tc>
          <w:tcPr>
            <w:tcW w:w="5103" w:type="dxa"/>
            <w:vAlign w:val="center"/>
          </w:tcPr>
          <w:p w14:paraId="2124AF45" w14:textId="77777777" w:rsidR="006D59ED" w:rsidRPr="00C45B29" w:rsidRDefault="006D59ED" w:rsidP="00C45B29">
            <w:pPr>
              <w:spacing w:line="276" w:lineRule="auto"/>
              <w:rPr>
                <w:rFonts w:cstheme="minorHAnsi"/>
              </w:rPr>
            </w:pPr>
          </w:p>
        </w:tc>
      </w:tr>
      <w:tr w:rsidR="00613A8D" w:rsidRPr="00C45B29" w14:paraId="0C21C79B" w14:textId="77777777" w:rsidTr="00DA7FD4">
        <w:trPr>
          <w:trHeight w:val="567"/>
        </w:trPr>
        <w:tc>
          <w:tcPr>
            <w:tcW w:w="3964" w:type="dxa"/>
            <w:vAlign w:val="center"/>
          </w:tcPr>
          <w:p w14:paraId="10B1EBF2" w14:textId="308BC01F" w:rsidR="00613A8D" w:rsidRPr="00DA7FD4" w:rsidRDefault="00613A8D" w:rsidP="00C45B29">
            <w:pPr>
              <w:spacing w:line="276" w:lineRule="auto"/>
              <w:rPr>
                <w:rFonts w:cstheme="minorHAnsi"/>
                <w:b/>
                <w:bCs/>
              </w:rPr>
            </w:pPr>
            <w:r w:rsidRPr="00DA7FD4">
              <w:rPr>
                <w:rFonts w:cstheme="minorHAnsi"/>
                <w:b/>
                <w:bCs/>
              </w:rPr>
              <w:t>Company Type</w:t>
            </w:r>
          </w:p>
        </w:tc>
        <w:sdt>
          <w:sdtPr>
            <w:rPr>
              <w:rFonts w:cstheme="minorHAnsi"/>
            </w:rPr>
            <w:id w:val="-58944712"/>
            <w:placeholder>
              <w:docPart w:val="DE46A9CCDAA94D9EB59667E6BE138651"/>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5103" w:type="dxa"/>
                <w:vAlign w:val="center"/>
              </w:tcPr>
              <w:p w14:paraId="14B558F1" w14:textId="7C563FD9" w:rsidR="00613A8D" w:rsidRPr="00C45B29" w:rsidRDefault="00613A8D" w:rsidP="00C45B29">
                <w:pPr>
                  <w:spacing w:line="276" w:lineRule="auto"/>
                  <w:rPr>
                    <w:rFonts w:cstheme="minorHAnsi"/>
                  </w:rPr>
                </w:pPr>
                <w:r w:rsidRPr="00C45B29">
                  <w:rPr>
                    <w:rFonts w:cstheme="minorHAnsi"/>
                  </w:rPr>
                  <w:t>Select Type</w:t>
                </w:r>
              </w:p>
            </w:tc>
          </w:sdtContent>
        </w:sdt>
      </w:tr>
      <w:tr w:rsidR="00613A8D" w:rsidRPr="00C45B29" w14:paraId="3DFEACE2" w14:textId="77777777" w:rsidTr="00DA7FD4">
        <w:trPr>
          <w:trHeight w:val="567"/>
        </w:trPr>
        <w:tc>
          <w:tcPr>
            <w:tcW w:w="3964" w:type="dxa"/>
            <w:vAlign w:val="center"/>
          </w:tcPr>
          <w:p w14:paraId="06F345AD" w14:textId="458D10EB" w:rsidR="00613A8D" w:rsidRPr="00DA7FD4" w:rsidRDefault="00613A8D" w:rsidP="00C45B29">
            <w:pPr>
              <w:spacing w:line="276" w:lineRule="auto"/>
              <w:rPr>
                <w:rFonts w:cstheme="minorHAnsi"/>
                <w:b/>
                <w:bCs/>
              </w:rPr>
            </w:pPr>
            <w:r w:rsidRPr="00DA7FD4">
              <w:rPr>
                <w:rFonts w:cstheme="minorHAnsi"/>
                <w:b/>
                <w:bCs/>
              </w:rPr>
              <w:t>User Type</w:t>
            </w:r>
          </w:p>
        </w:tc>
        <w:sdt>
          <w:sdtPr>
            <w:rPr>
              <w:rFonts w:cstheme="minorHAnsi"/>
            </w:rPr>
            <w:alias w:val="User Type"/>
            <w:tag w:val="User Type"/>
            <w:id w:val="848065618"/>
            <w:placeholder>
              <w:docPart w:val="0E46ACF691C24CFBB7C89E04A0636ADE"/>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5103" w:type="dxa"/>
                <w:vAlign w:val="center"/>
              </w:tcPr>
              <w:p w14:paraId="3DC4B273" w14:textId="4FCED05A" w:rsidR="00613A8D" w:rsidRPr="00C45B29" w:rsidRDefault="00613A8D" w:rsidP="00C45B29">
                <w:pPr>
                  <w:spacing w:line="276" w:lineRule="auto"/>
                  <w:rPr>
                    <w:rFonts w:cstheme="minorHAnsi"/>
                  </w:rPr>
                </w:pPr>
                <w:r w:rsidRPr="00C45B29">
                  <w:rPr>
                    <w:rFonts w:cstheme="minorHAnsi"/>
                  </w:rPr>
                  <w:t>Select Type</w:t>
                </w:r>
              </w:p>
            </w:tc>
          </w:sdtContent>
        </w:sdt>
      </w:tr>
      <w:tr w:rsidR="00613A8D" w:rsidRPr="00C45B29" w14:paraId="58D23403" w14:textId="77777777" w:rsidTr="00DA7FD4">
        <w:trPr>
          <w:trHeight w:val="567"/>
        </w:trPr>
        <w:tc>
          <w:tcPr>
            <w:tcW w:w="3964" w:type="dxa"/>
            <w:vAlign w:val="center"/>
          </w:tcPr>
          <w:p w14:paraId="08140BE7" w14:textId="77777777" w:rsidR="00613A8D" w:rsidRPr="00DA7FD4" w:rsidRDefault="00613A8D" w:rsidP="00C45B29">
            <w:pPr>
              <w:spacing w:line="276" w:lineRule="auto"/>
              <w:rPr>
                <w:rFonts w:cstheme="minorHAnsi"/>
                <w:b/>
                <w:bCs/>
              </w:rPr>
            </w:pPr>
            <w:r w:rsidRPr="00DA7FD4">
              <w:rPr>
                <w:rFonts w:cstheme="minorHAnsi"/>
                <w:b/>
                <w:bCs/>
              </w:rPr>
              <w:t>Select if response should be anonymous</w:t>
            </w:r>
          </w:p>
        </w:tc>
        <w:tc>
          <w:tcPr>
            <w:tcW w:w="5103" w:type="dxa"/>
            <w:vAlign w:val="center"/>
          </w:tcPr>
          <w:p w14:paraId="04194755" w14:textId="77777777" w:rsidR="00613A8D" w:rsidRPr="00C45B29" w:rsidRDefault="00613A8D" w:rsidP="00C45B29">
            <w:pPr>
              <w:spacing w:line="276" w:lineRule="auto"/>
              <w:rPr>
                <w:rFonts w:cstheme="minorHAnsi"/>
              </w:rPr>
            </w:pPr>
            <w:r w:rsidRPr="00C45B29">
              <w:rPr>
                <w:rFonts w:ascii="Segoe UI Symbol" w:hAnsi="Segoe UI Symbol" w:cs="Segoe UI Symbol"/>
                <w:color w:val="000000"/>
              </w:rPr>
              <w:t>☐</w:t>
            </w:r>
          </w:p>
        </w:tc>
      </w:tr>
    </w:tbl>
    <w:p w14:paraId="19028D07" w14:textId="1E85820B" w:rsidR="003D1857" w:rsidRDefault="003D1857">
      <w:pPr>
        <w:rPr>
          <w:rFonts w:asciiTheme="majorHAnsi" w:eastAsiaTheme="majorEastAsia" w:hAnsiTheme="majorHAnsi" w:cstheme="majorBidi"/>
          <w:color w:val="2E74B5" w:themeColor="accent1" w:themeShade="BF"/>
          <w:sz w:val="32"/>
          <w:szCs w:val="32"/>
        </w:rPr>
      </w:pPr>
    </w:p>
    <w:p w14:paraId="19931F16" w14:textId="3C1C49BD" w:rsidR="00F00232" w:rsidRDefault="00F00232">
      <w:pPr>
        <w:rPr>
          <w:rFonts w:asciiTheme="majorHAnsi" w:eastAsiaTheme="majorEastAsia" w:hAnsiTheme="majorHAnsi" w:cstheme="majorBidi"/>
          <w:color w:val="2E74B5" w:themeColor="accent1" w:themeShade="BF"/>
          <w:sz w:val="32"/>
          <w:szCs w:val="32"/>
        </w:rPr>
      </w:pPr>
    </w:p>
    <w:p w14:paraId="24459AB9" w14:textId="77777777" w:rsidR="00F00232" w:rsidRDefault="00F00232">
      <w:pPr>
        <w:rPr>
          <w:rFonts w:asciiTheme="majorHAnsi" w:eastAsiaTheme="majorEastAsia" w:hAnsiTheme="majorHAnsi" w:cstheme="majorBidi"/>
          <w:color w:val="2E74B5" w:themeColor="accent1" w:themeShade="BF"/>
          <w:sz w:val="32"/>
          <w:szCs w:val="32"/>
        </w:rPr>
      </w:pPr>
    </w:p>
    <w:tbl>
      <w:tblPr>
        <w:tblStyle w:val="GridTable4-Accent1"/>
        <w:tblW w:w="9634" w:type="dxa"/>
        <w:tblLook w:val="04A0" w:firstRow="1" w:lastRow="0" w:firstColumn="1" w:lastColumn="0" w:noHBand="0" w:noVBand="1"/>
      </w:tblPr>
      <w:tblGrid>
        <w:gridCol w:w="704"/>
        <w:gridCol w:w="4536"/>
        <w:gridCol w:w="4394"/>
      </w:tblGrid>
      <w:tr w:rsidR="00F00232" w:rsidRPr="00F230C1" w14:paraId="2923868A" w14:textId="77777777" w:rsidTr="00DA7F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785D0C" w14:textId="1919C21B" w:rsidR="00EC728C" w:rsidRPr="00DA7FD4" w:rsidRDefault="00EC728C" w:rsidP="00DA7FD4">
            <w:pPr>
              <w:spacing w:before="120" w:line="276" w:lineRule="auto"/>
              <w:rPr>
                <w:rFonts w:asciiTheme="majorHAnsi" w:eastAsiaTheme="majorEastAsia" w:hAnsiTheme="majorHAnsi" w:cstheme="majorBidi"/>
                <w:caps/>
              </w:rPr>
            </w:pPr>
            <w:r w:rsidRPr="00DA7FD4">
              <w:rPr>
                <w:rFonts w:asciiTheme="majorHAnsi" w:eastAsiaTheme="majorEastAsia" w:hAnsiTheme="majorHAnsi" w:cstheme="majorBidi"/>
                <w:caps/>
                <w:color w:val="auto"/>
              </w:rPr>
              <w:lastRenderedPageBreak/>
              <w:t>CP2 Q</w:t>
            </w:r>
            <w:r w:rsidR="00F230C1" w:rsidRPr="00DA7FD4">
              <w:rPr>
                <w:rFonts w:asciiTheme="majorHAnsi" w:eastAsiaTheme="majorEastAsia" w:hAnsiTheme="majorHAnsi" w:cstheme="majorBidi"/>
                <w:caps/>
                <w:color w:val="auto"/>
              </w:rPr>
              <w:t>#</w:t>
            </w:r>
          </w:p>
        </w:tc>
        <w:tc>
          <w:tcPr>
            <w:tcW w:w="4536" w:type="dxa"/>
            <w:vAlign w:val="center"/>
          </w:tcPr>
          <w:p w14:paraId="0A9647B7" w14:textId="21B599C3" w:rsidR="00EC728C" w:rsidRPr="00DA7FD4" w:rsidRDefault="00F230C1" w:rsidP="00DA7FD4">
            <w:pPr>
              <w:spacing w:before="120"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DA7FD4">
              <w:rPr>
                <w:rFonts w:asciiTheme="majorHAnsi" w:eastAsiaTheme="majorEastAsia" w:hAnsiTheme="majorHAnsi" w:cstheme="majorBidi"/>
                <w:caps/>
                <w:color w:val="auto"/>
              </w:rPr>
              <w:t>Question for Consultation</w:t>
            </w:r>
          </w:p>
        </w:tc>
        <w:tc>
          <w:tcPr>
            <w:tcW w:w="4394" w:type="dxa"/>
            <w:vAlign w:val="center"/>
          </w:tcPr>
          <w:p w14:paraId="4249ED5B" w14:textId="1B3CF1E0" w:rsidR="00EC728C" w:rsidRPr="00DA7FD4" w:rsidRDefault="00F230C1" w:rsidP="00DA7FD4">
            <w:pPr>
              <w:spacing w:before="120" w:line="276" w:lineRule="auto"/>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DA7FD4">
              <w:rPr>
                <w:rFonts w:asciiTheme="majorHAnsi" w:eastAsiaTheme="majorEastAsia" w:hAnsiTheme="majorHAnsi" w:cstheme="majorBidi"/>
                <w:caps/>
                <w:color w:val="auto"/>
              </w:rPr>
              <w:t xml:space="preserve">Participant’s Response </w:t>
            </w:r>
          </w:p>
        </w:tc>
      </w:tr>
      <w:tr w:rsidR="00F00232" w:rsidRPr="00F230C1" w14:paraId="37085167"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468352B2" w14:textId="1B3E693C" w:rsidR="00F00232" w:rsidRPr="00CB4773" w:rsidRDefault="00F00232" w:rsidP="00DA7FD4">
            <w:pPr>
              <w:spacing w:before="60" w:after="60" w:line="276" w:lineRule="auto"/>
              <w:rPr>
                <w:rFonts w:asciiTheme="majorHAnsi" w:eastAsiaTheme="majorEastAsia" w:hAnsiTheme="majorHAnsi" w:cstheme="majorBidi"/>
                <w:color w:val="2E74B5" w:themeColor="accent1" w:themeShade="BF"/>
              </w:rPr>
            </w:pPr>
            <w:r w:rsidRPr="00DA7FD4">
              <w:rPr>
                <w:rFonts w:asciiTheme="majorHAnsi" w:eastAsiaTheme="majorEastAsia" w:hAnsiTheme="majorHAnsi" w:cstheme="majorBidi"/>
                <w:color w:val="0070C0"/>
              </w:rPr>
              <w:t>F</w:t>
            </w:r>
            <w:r w:rsidRPr="00DA7FD4">
              <w:rPr>
                <w:rFonts w:asciiTheme="majorHAnsi" w:hAnsiTheme="majorHAnsi" w:cstheme="majorBidi"/>
                <w:color w:val="0070C0"/>
              </w:rPr>
              <w:t>UN</w:t>
            </w:r>
            <w:r w:rsidR="003B11DC">
              <w:rPr>
                <w:rFonts w:asciiTheme="majorHAnsi" w:hAnsiTheme="majorHAnsi" w:cstheme="majorBidi"/>
                <w:color w:val="0070C0"/>
              </w:rPr>
              <w:t>C</w:t>
            </w:r>
            <w:r w:rsidRPr="00DA7FD4">
              <w:rPr>
                <w:rFonts w:asciiTheme="majorHAnsi" w:hAnsiTheme="majorHAnsi" w:cstheme="majorBidi"/>
                <w:color w:val="0070C0"/>
              </w:rPr>
              <w:t>TIONALITY</w:t>
            </w:r>
          </w:p>
        </w:tc>
      </w:tr>
      <w:tr w:rsidR="00C449A7" w:rsidRPr="00F230C1" w14:paraId="78A4C2E6" w14:textId="77777777" w:rsidTr="00DA7FD4">
        <w:trPr>
          <w:trHeight w:val="349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2ED24BD" w14:textId="741027C5" w:rsidR="00EC728C" w:rsidRPr="00DA7FD4" w:rsidRDefault="001D1939" w:rsidP="00DA7FD4">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w:t>
            </w:r>
          </w:p>
        </w:tc>
        <w:tc>
          <w:tcPr>
            <w:tcW w:w="4536" w:type="dxa"/>
            <w:shd w:val="clear" w:color="auto" w:fill="auto"/>
            <w:vAlign w:val="center"/>
          </w:tcPr>
          <w:p w14:paraId="10E98B9C" w14:textId="77777777" w:rsidR="00EC33CF" w:rsidRDefault="00F00232" w:rsidP="00CB4773">
            <w:pPr>
              <w:spacing w:before="120" w:line="276" w:lineRule="auto"/>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u w:val="single"/>
              </w:rPr>
            </w:pPr>
            <w:r w:rsidRPr="00DA7FD4">
              <w:rPr>
                <w:u w:val="single"/>
              </w:rPr>
              <w:t>CFI Codes for EMIR</w:t>
            </w:r>
            <w:r w:rsidRPr="00DA7FD4">
              <w:rPr>
                <w:rStyle w:val="normaltextrun"/>
                <w:rFonts w:ascii="Calibri" w:hAnsi="Calibri" w:cs="Calibri"/>
                <w:color w:val="000000"/>
                <w:u w:val="single"/>
              </w:rPr>
              <w:t xml:space="preserve"> </w:t>
            </w:r>
          </w:p>
          <w:p w14:paraId="6EA740DF" w14:textId="74F90960" w:rsidR="00EC728C" w:rsidRPr="00DA7FD4" w:rsidRDefault="00C77B09" w:rsidP="00DA7FD4">
            <w:pPr>
              <w:spacing w:before="12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u w:val="single"/>
              </w:rPr>
            </w:pPr>
            <w:r w:rsidRPr="00CB4773">
              <w:rPr>
                <w:rStyle w:val="normaltextrun"/>
                <w:rFonts w:ascii="Calibri" w:hAnsi="Calibri" w:cs="Calibri"/>
                <w:color w:val="000000"/>
              </w:rPr>
              <w:t xml:space="preserve">Given the </w:t>
            </w:r>
            <w:r w:rsidRPr="00930A8B">
              <w:rPr>
                <w:rStyle w:val="normaltextrun"/>
                <w:rFonts w:ascii="Calibri" w:hAnsi="Calibri" w:cs="Calibri"/>
                <w:color w:val="000000"/>
              </w:rPr>
              <w:t xml:space="preserve">approach set out above, the </w:t>
            </w:r>
            <w:r w:rsidRPr="00C77B09">
              <w:rPr>
                <w:rStyle w:val="normaltextrun"/>
                <w:rFonts w:ascii="Calibri" w:hAnsi="Calibri" w:cs="Calibri"/>
                <w:color w:val="000000"/>
              </w:rPr>
              <w:t>cost estimates provided by the DSB in this consultation, and bearing in mind that these costs would be shared across the DSB’s user base as per the DSB’s existing fee model, do you believe it is appropriate for the DSB to provide a CFI service to act as the golden source of CFI codes for all EMIR Level III products, or should such a service be left to commercial operators?</w:t>
            </w:r>
          </w:p>
        </w:tc>
        <w:tc>
          <w:tcPr>
            <w:tcW w:w="4394" w:type="dxa"/>
            <w:shd w:val="clear" w:color="auto" w:fill="auto"/>
            <w:vAlign w:val="center"/>
          </w:tcPr>
          <w:p w14:paraId="21709F87" w14:textId="77777777" w:rsidR="00EC728C" w:rsidRPr="00DA7FD4" w:rsidRDefault="00EC728C" w:rsidP="00DA7FD4">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56033" w:rsidRPr="00F230C1" w14:paraId="2BA5C0AB" w14:textId="77777777" w:rsidTr="00DA7FD4">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auto"/>
            <w:vAlign w:val="center"/>
          </w:tcPr>
          <w:p w14:paraId="63D5EEFC" w14:textId="6011A0F4" w:rsidR="00056033" w:rsidRPr="00DA7FD4" w:rsidRDefault="00056033" w:rsidP="00DA7FD4">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w:t>
            </w:r>
          </w:p>
        </w:tc>
        <w:tc>
          <w:tcPr>
            <w:tcW w:w="4536" w:type="dxa"/>
            <w:shd w:val="clear" w:color="auto" w:fill="auto"/>
            <w:vAlign w:val="center"/>
          </w:tcPr>
          <w:p w14:paraId="0AC005E3" w14:textId="77777777" w:rsidR="00EC33CF" w:rsidRDefault="00F00232" w:rsidP="00CB4773">
            <w:pPr>
              <w:pStyle w:val="paragraph"/>
              <w:spacing w:before="240" w:beforeAutospacing="0" w:after="12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sz w:val="22"/>
                <w:szCs w:val="22"/>
              </w:rPr>
            </w:pPr>
            <w:r w:rsidRPr="00DA7FD4">
              <w:rPr>
                <w:rFonts w:asciiTheme="minorHAnsi" w:eastAsiaTheme="minorHAnsi" w:hAnsiTheme="minorHAnsi" w:cstheme="minorBidi"/>
                <w:sz w:val="22"/>
                <w:szCs w:val="22"/>
                <w:u w:val="single"/>
                <w:lang w:eastAsia="en-US"/>
              </w:rPr>
              <w:t>Mapping to MiFID II Taxonomy</w:t>
            </w:r>
            <w:r>
              <w:rPr>
                <w:rStyle w:val="normaltextrun"/>
                <w:rFonts w:ascii="Calibri" w:hAnsi="Calibri" w:cs="Calibri"/>
                <w:b/>
                <w:color w:val="000000"/>
                <w:sz w:val="22"/>
                <w:szCs w:val="22"/>
              </w:rPr>
              <w:t xml:space="preserve"> </w:t>
            </w:r>
          </w:p>
          <w:p w14:paraId="213E1616" w14:textId="7390880B" w:rsidR="00056033" w:rsidRPr="00DA7FD4" w:rsidRDefault="00056033" w:rsidP="00DA7FD4">
            <w:pPr>
              <w:pStyle w:val="paragraph"/>
              <w:spacing w:before="240" w:beforeAutospacing="0" w:after="12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Pr>
                <w:rStyle w:val="normaltextrun"/>
                <w:rFonts w:ascii="Calibri" w:hAnsi="Calibri" w:cs="Calibri"/>
                <w:b/>
                <w:color w:val="000000"/>
                <w:sz w:val="22"/>
                <w:szCs w:val="22"/>
              </w:rPr>
              <w:t>2(a)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Do you concur with the DSB’s proposal to </w:t>
            </w:r>
            <w:r>
              <w:rPr>
                <w:rStyle w:val="eop"/>
                <w:rFonts w:ascii="Calibri" w:eastAsiaTheme="majorEastAsia" w:hAnsi="Calibri" w:cs="Calibri"/>
                <w:sz w:val="22"/>
                <w:szCs w:val="22"/>
              </w:rPr>
              <w:t>perform the analysis for MiFID II Taxonomy mapping</w:t>
            </w:r>
            <w:r w:rsidRPr="00F72611">
              <w:rPr>
                <w:rStyle w:val="eop"/>
                <w:rFonts w:ascii="Calibri" w:eastAsiaTheme="majorEastAsia" w:hAnsi="Calibri" w:cs="Calibri"/>
                <w:sz w:val="22"/>
                <w:szCs w:val="22"/>
              </w:rPr>
              <w:t xml:space="preserve">? </w:t>
            </w:r>
          </w:p>
        </w:tc>
        <w:tc>
          <w:tcPr>
            <w:tcW w:w="4394" w:type="dxa"/>
            <w:shd w:val="clear" w:color="auto" w:fill="auto"/>
            <w:vAlign w:val="center"/>
          </w:tcPr>
          <w:p w14:paraId="65E209FB" w14:textId="77777777" w:rsidR="00056033" w:rsidRPr="00DA7FD4" w:rsidRDefault="00056033" w:rsidP="00DA7FD4">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56033" w:rsidRPr="00F230C1" w14:paraId="099558EA" w14:textId="77777777" w:rsidTr="00DA7FD4">
        <w:trPr>
          <w:trHeight w:val="1673"/>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auto"/>
            <w:vAlign w:val="center"/>
          </w:tcPr>
          <w:p w14:paraId="2E052912" w14:textId="77777777" w:rsidR="00056033" w:rsidRDefault="00056033">
            <w:pPr>
              <w:spacing w:before="120" w:line="276" w:lineRule="auto"/>
              <w:rPr>
                <w:rFonts w:asciiTheme="majorHAnsi" w:eastAsiaTheme="majorEastAsia" w:hAnsiTheme="majorHAnsi" w:cstheme="majorBidi"/>
                <w:color w:val="2E74B5" w:themeColor="accent1" w:themeShade="BF"/>
              </w:rPr>
            </w:pPr>
          </w:p>
        </w:tc>
        <w:tc>
          <w:tcPr>
            <w:tcW w:w="4536" w:type="dxa"/>
            <w:shd w:val="clear" w:color="auto" w:fill="auto"/>
            <w:vAlign w:val="center"/>
          </w:tcPr>
          <w:p w14:paraId="17057594" w14:textId="0433028F" w:rsidR="00056033" w:rsidRDefault="00056033">
            <w:pPr>
              <w:pStyle w:val="paragraph"/>
              <w:spacing w:before="240" w:beforeAutospacing="0" w:after="12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eastAsiaTheme="minorHAnsi" w:hAnsi="Calibri" w:cs="Calibri"/>
                <w:b/>
                <w:color w:val="000000"/>
                <w:sz w:val="22"/>
                <w:szCs w:val="22"/>
                <w:lang w:eastAsia="en-US"/>
              </w:rPr>
            </w:pPr>
            <w:r>
              <w:rPr>
                <w:rStyle w:val="eop"/>
                <w:rFonts w:ascii="Calibri" w:eastAsiaTheme="majorEastAsia" w:hAnsi="Calibri" w:cs="Calibri"/>
                <w:b/>
                <w:sz w:val="22"/>
                <w:szCs w:val="22"/>
              </w:rPr>
              <w:t>2</w:t>
            </w:r>
            <w:r w:rsidRPr="00F72611">
              <w:rPr>
                <w:rStyle w:val="eop"/>
                <w:rFonts w:ascii="Calibri" w:eastAsiaTheme="majorEastAsia" w:hAnsi="Calibri" w:cs="Calibri"/>
                <w:b/>
                <w:sz w:val="22"/>
                <w:szCs w:val="22"/>
              </w:rPr>
              <w:t>(b)</w:t>
            </w:r>
            <w:r w:rsidRPr="00F72611">
              <w:rPr>
                <w:rStyle w:val="eop"/>
                <w:rFonts w:ascii="Calibri" w:eastAsiaTheme="majorEastAsia" w:hAnsi="Calibri" w:cs="Calibri"/>
                <w:sz w:val="22"/>
                <w:szCs w:val="22"/>
              </w:rPr>
              <w:t xml:space="preserve">: If you answered “yes” to </w:t>
            </w:r>
            <w:r>
              <w:rPr>
                <w:rStyle w:val="eop"/>
                <w:rFonts w:ascii="Calibri" w:eastAsiaTheme="majorEastAsia" w:hAnsi="Calibri" w:cs="Calibri"/>
                <w:sz w:val="22"/>
                <w:szCs w:val="22"/>
              </w:rPr>
              <w:t xml:space="preserve">the </w:t>
            </w:r>
            <w:r w:rsidRPr="00F72611">
              <w:rPr>
                <w:rStyle w:val="eop"/>
                <w:rFonts w:ascii="Calibri" w:eastAsiaTheme="majorEastAsia" w:hAnsi="Calibri" w:cs="Calibri"/>
                <w:sz w:val="22"/>
                <w:szCs w:val="22"/>
              </w:rPr>
              <w:t>question above, do you want the DSB analysis to address all products under MiFID II RTS-2 scope or just OTC derivatives in scope of the DSB?</w:t>
            </w:r>
          </w:p>
        </w:tc>
        <w:tc>
          <w:tcPr>
            <w:tcW w:w="4394" w:type="dxa"/>
            <w:shd w:val="clear" w:color="auto" w:fill="auto"/>
            <w:vAlign w:val="center"/>
          </w:tcPr>
          <w:p w14:paraId="477C60AB" w14:textId="77777777" w:rsidR="00056033" w:rsidRPr="00CB4773" w:rsidRDefault="00056033">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432947CF" w14:textId="77777777" w:rsidTr="00DA7FD4">
        <w:trPr>
          <w:cnfStyle w:val="000000100000" w:firstRow="0" w:lastRow="0" w:firstColumn="0" w:lastColumn="0" w:oddVBand="0" w:evenVBand="0" w:oddHBand="1" w:evenHBand="0"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AFE5FF4" w14:textId="3DE92AB2" w:rsidR="00F230C1" w:rsidRPr="00F230C1" w:rsidRDefault="001D1939"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3</w:t>
            </w:r>
          </w:p>
        </w:tc>
        <w:tc>
          <w:tcPr>
            <w:tcW w:w="4536" w:type="dxa"/>
            <w:shd w:val="clear" w:color="auto" w:fill="auto"/>
            <w:vAlign w:val="center"/>
          </w:tcPr>
          <w:p w14:paraId="650A7FFB" w14:textId="5EDC9DC4" w:rsidR="00EC33CF" w:rsidRPr="00DA7FD4" w:rsidRDefault="00EC33CF" w:rsidP="00930A8B">
            <w:pPr>
              <w:spacing w:before="120" w:line="276" w:lineRule="auto"/>
              <w:cnfStyle w:val="000000100000" w:firstRow="0" w:lastRow="0" w:firstColumn="0" w:lastColumn="0" w:oddVBand="0" w:evenVBand="0" w:oddHBand="1" w:evenHBand="0" w:firstRowFirstColumn="0" w:firstRowLastColumn="0" w:lastRowFirstColumn="0" w:lastRowLastColumn="0"/>
              <w:rPr>
                <w:rStyle w:val="eop"/>
                <w:rFonts w:ascii="Calibri" w:eastAsiaTheme="majorEastAsia" w:hAnsi="Calibri" w:cs="Calibri"/>
                <w:u w:val="single"/>
              </w:rPr>
            </w:pPr>
            <w:r w:rsidRPr="00DA7FD4">
              <w:rPr>
                <w:u w:val="single"/>
              </w:rPr>
              <w:t>Default values in ISIN Templates</w:t>
            </w:r>
          </w:p>
          <w:p w14:paraId="3BB402FC" w14:textId="50DDB8E1" w:rsidR="00F230C1" w:rsidRPr="00F230C1" w:rsidRDefault="004269D2">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C1184C">
              <w:rPr>
                <w:rStyle w:val="eop"/>
                <w:rFonts w:ascii="Calibri" w:eastAsiaTheme="majorEastAsia" w:hAnsi="Calibri" w:cs="Calibri"/>
              </w:rPr>
              <w:t>Do you concur with the DSB’s proposal</w:t>
            </w:r>
            <w:r>
              <w:rPr>
                <w:rStyle w:val="eop"/>
                <w:rFonts w:ascii="Calibri" w:eastAsiaTheme="majorEastAsia" w:hAnsi="Calibri" w:cs="Calibri"/>
              </w:rPr>
              <w:t xml:space="preserve"> to utilise the DSB Challenge Process and existing PC secretariat resourcing to manage default value population within the product templates</w:t>
            </w:r>
            <w:r w:rsidRPr="00C1184C">
              <w:rPr>
                <w:rStyle w:val="eop"/>
                <w:rFonts w:ascii="Calibri" w:eastAsiaTheme="majorEastAsia" w:hAnsi="Calibri" w:cs="Calibri"/>
              </w:rPr>
              <w:t>?</w:t>
            </w:r>
          </w:p>
        </w:tc>
        <w:tc>
          <w:tcPr>
            <w:tcW w:w="4394" w:type="dxa"/>
            <w:shd w:val="clear" w:color="auto" w:fill="auto"/>
            <w:vAlign w:val="center"/>
          </w:tcPr>
          <w:p w14:paraId="03E35465" w14:textId="77777777" w:rsidR="00F230C1" w:rsidRPr="00F230C1" w:rsidRDefault="00F230C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245D49D6" w14:textId="77777777" w:rsidTr="00DA7FD4">
        <w:trPr>
          <w:trHeight w:val="1834"/>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4C2BD500" w14:textId="714C0BEE" w:rsidR="00F230C1" w:rsidRPr="00F230C1" w:rsidRDefault="001D1939"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4</w:t>
            </w:r>
          </w:p>
        </w:tc>
        <w:tc>
          <w:tcPr>
            <w:tcW w:w="4536" w:type="dxa"/>
            <w:shd w:val="clear" w:color="auto" w:fill="auto"/>
            <w:vAlign w:val="center"/>
          </w:tcPr>
          <w:p w14:paraId="2283925F" w14:textId="77777777" w:rsidR="00EC33CF" w:rsidRPr="00DA7FD4" w:rsidRDefault="00EC33CF" w:rsidP="00930A8B">
            <w:pPr>
              <w:spacing w:before="120" w:line="276" w:lineRule="auto"/>
              <w:cnfStyle w:val="000000000000" w:firstRow="0" w:lastRow="0" w:firstColumn="0" w:lastColumn="0" w:oddVBand="0" w:evenVBand="0" w:oddHBand="0" w:evenHBand="0" w:firstRowFirstColumn="0" w:firstRowLastColumn="0" w:lastRowFirstColumn="0" w:lastRowLastColumn="0"/>
              <w:rPr>
                <w:rStyle w:val="eop"/>
                <w:rFonts w:ascii="Calibri" w:eastAsiaTheme="majorEastAsia" w:hAnsi="Calibri" w:cs="Calibri"/>
                <w:u w:val="single"/>
              </w:rPr>
            </w:pPr>
            <w:r w:rsidRPr="00DA7FD4">
              <w:rPr>
                <w:u w:val="single"/>
              </w:rPr>
              <w:t>Underlying Identifiers</w:t>
            </w:r>
            <w:r w:rsidRPr="00DA7FD4">
              <w:rPr>
                <w:rStyle w:val="eop"/>
                <w:rFonts w:ascii="Calibri" w:eastAsiaTheme="majorEastAsia" w:hAnsi="Calibri" w:cs="Calibri"/>
                <w:u w:val="single"/>
              </w:rPr>
              <w:t xml:space="preserve"> </w:t>
            </w:r>
          </w:p>
          <w:p w14:paraId="48973332" w14:textId="295D66F5" w:rsidR="00C449A7" w:rsidRPr="00DA7FD4" w:rsidRDefault="004269D2">
            <w:pPr>
              <w:spacing w:before="120" w:line="276" w:lineRule="auto"/>
              <w:cnfStyle w:val="000000000000" w:firstRow="0" w:lastRow="0" w:firstColumn="0" w:lastColumn="0" w:oddVBand="0" w:evenVBand="0" w:oddHBand="0" w:evenHBand="0" w:firstRowFirstColumn="0" w:firstRowLastColumn="0" w:lastRowFirstColumn="0" w:lastRowLastColumn="0"/>
              <w:rPr>
                <w:rFonts w:ascii="Calibri" w:eastAsiaTheme="majorEastAsia" w:hAnsi="Calibri" w:cs="Calibri"/>
              </w:rPr>
            </w:pPr>
            <w:r w:rsidRPr="00141B7E">
              <w:rPr>
                <w:rStyle w:val="eop"/>
                <w:rFonts w:ascii="Calibri" w:eastAsiaTheme="majorEastAsia" w:hAnsi="Calibri" w:cs="Calibri"/>
              </w:rPr>
              <w:t>Do you concur with the DSB’s proposal</w:t>
            </w:r>
            <w:r>
              <w:rPr>
                <w:rStyle w:val="eop"/>
                <w:rFonts w:ascii="Calibri" w:eastAsiaTheme="majorEastAsia" w:hAnsi="Calibri" w:cs="Calibri"/>
              </w:rPr>
              <w:t xml:space="preserve"> to utilise existing PC secretariat resources to manage requests for additional underlying data such as US equities</w:t>
            </w:r>
            <w:r w:rsidRPr="00141B7E">
              <w:rPr>
                <w:rStyle w:val="eop"/>
                <w:rFonts w:ascii="Calibri" w:eastAsiaTheme="majorEastAsia" w:hAnsi="Calibri" w:cs="Calibri"/>
              </w:rPr>
              <w:t>?</w:t>
            </w:r>
          </w:p>
        </w:tc>
        <w:tc>
          <w:tcPr>
            <w:tcW w:w="4394" w:type="dxa"/>
            <w:shd w:val="clear" w:color="auto" w:fill="auto"/>
            <w:vAlign w:val="center"/>
          </w:tcPr>
          <w:p w14:paraId="6B93E8F7" w14:textId="77777777" w:rsidR="00F230C1" w:rsidRPr="00F230C1" w:rsidRDefault="00F230C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012137B2"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9E66532" w14:textId="0D72AE76" w:rsidR="00F230C1" w:rsidRPr="00F230C1" w:rsidRDefault="001D1939"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5</w:t>
            </w:r>
          </w:p>
        </w:tc>
        <w:tc>
          <w:tcPr>
            <w:tcW w:w="4536" w:type="dxa"/>
            <w:shd w:val="clear" w:color="auto" w:fill="auto"/>
            <w:vAlign w:val="center"/>
          </w:tcPr>
          <w:p w14:paraId="66B177C1" w14:textId="3EBBF98A" w:rsidR="00EC33CF" w:rsidRPr="00DA7FD4" w:rsidRDefault="00C449A7" w:rsidP="00930A8B">
            <w:pPr>
              <w:spacing w:before="120" w:line="276" w:lineRule="auto"/>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u w:val="single"/>
              </w:rPr>
            </w:pPr>
            <w:r w:rsidRPr="00DA7FD4">
              <w:rPr>
                <w:u w:val="single"/>
              </w:rPr>
              <w:t>GUI Enhancements</w:t>
            </w:r>
          </w:p>
          <w:p w14:paraId="06C4E976" w14:textId="0477101A" w:rsidR="00F230C1" w:rsidRPr="00F230C1" w:rsidRDefault="004269D2">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913CDA">
              <w:rPr>
                <w:rStyle w:val="normaltextrun"/>
                <w:rFonts w:ascii="Calibri" w:hAnsi="Calibri" w:cs="Calibri"/>
                <w:color w:val="000000"/>
              </w:rPr>
              <w:t>Do you concur with the DSB’s proposal</w:t>
            </w:r>
            <w:r>
              <w:rPr>
                <w:rStyle w:val="normaltextrun"/>
                <w:rFonts w:ascii="Calibri" w:hAnsi="Calibri" w:cs="Calibri"/>
                <w:color w:val="000000"/>
              </w:rPr>
              <w:t xml:space="preserve"> to implement a minimal set of search filters targeting occasional users</w:t>
            </w:r>
            <w:r w:rsidRPr="00913CDA">
              <w:rPr>
                <w:rStyle w:val="normaltextrun"/>
                <w:rFonts w:ascii="Calibri" w:hAnsi="Calibri" w:cs="Calibri"/>
                <w:color w:val="000000"/>
              </w:rPr>
              <w:t>?</w:t>
            </w:r>
          </w:p>
        </w:tc>
        <w:tc>
          <w:tcPr>
            <w:tcW w:w="4394" w:type="dxa"/>
            <w:shd w:val="clear" w:color="auto" w:fill="auto"/>
            <w:vAlign w:val="center"/>
          </w:tcPr>
          <w:p w14:paraId="4B3D137B" w14:textId="77777777" w:rsidR="00F230C1" w:rsidRPr="00F230C1" w:rsidRDefault="00F230C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7E816466" w14:textId="77777777" w:rsidTr="00DA7FD4">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72624B41" w14:textId="039BA83B" w:rsidR="00F230C1" w:rsidRPr="00F230C1" w:rsidRDefault="001D1939"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lastRenderedPageBreak/>
              <w:t>6</w:t>
            </w:r>
          </w:p>
        </w:tc>
        <w:tc>
          <w:tcPr>
            <w:tcW w:w="4536" w:type="dxa"/>
            <w:shd w:val="clear" w:color="auto" w:fill="auto"/>
            <w:vAlign w:val="center"/>
          </w:tcPr>
          <w:p w14:paraId="5A7C1032" w14:textId="77777777" w:rsidR="00F230C1" w:rsidRPr="00DA7FD4" w:rsidRDefault="00C449A7">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Other Technical Enhancements</w:t>
            </w:r>
          </w:p>
          <w:p w14:paraId="3FEDE12B" w14:textId="0F76CF3B" w:rsidR="00C449A7" w:rsidRPr="00F230C1" w:rsidRDefault="00DA4547">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716426">
              <w:rPr>
                <w:rStyle w:val="eop"/>
                <w:rFonts w:ascii="Calibri" w:eastAsiaTheme="majorEastAsia" w:hAnsi="Calibri" w:cs="Calibri"/>
              </w:rPr>
              <w:t>Do you concur with the DSB’s proposal</w:t>
            </w:r>
            <w:r>
              <w:rPr>
                <w:rStyle w:val="eop"/>
                <w:rFonts w:ascii="Calibri" w:eastAsiaTheme="majorEastAsia" w:hAnsi="Calibri" w:cs="Calibri"/>
              </w:rPr>
              <w:t xml:space="preserve"> to utilise existing TAC resources to address the identified concerns as part of the DSB’s business as usual resourcing</w:t>
            </w:r>
            <w:r w:rsidRPr="00716426">
              <w:rPr>
                <w:rStyle w:val="eop"/>
                <w:rFonts w:ascii="Calibri" w:eastAsiaTheme="majorEastAsia" w:hAnsi="Calibri" w:cs="Calibri"/>
              </w:rPr>
              <w:t>?</w:t>
            </w:r>
          </w:p>
        </w:tc>
        <w:tc>
          <w:tcPr>
            <w:tcW w:w="4394" w:type="dxa"/>
            <w:shd w:val="clear" w:color="auto" w:fill="auto"/>
            <w:vAlign w:val="center"/>
          </w:tcPr>
          <w:p w14:paraId="23E40ADC" w14:textId="77777777" w:rsidR="00F230C1" w:rsidRPr="00F230C1" w:rsidRDefault="00F230C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BB213D" w:rsidRPr="00F230C1" w14:paraId="3EBA25A1"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1FF61617" w14:textId="4E3EEB38" w:rsidR="00BB213D" w:rsidRPr="00DA7FD4" w:rsidRDefault="00BB213D" w:rsidP="00DA7FD4">
            <w:pPr>
              <w:spacing w:before="60" w:after="60" w:line="276" w:lineRule="auto"/>
              <w:rPr>
                <w:rFonts w:asciiTheme="majorHAnsi" w:eastAsiaTheme="majorEastAsia" w:hAnsiTheme="majorHAnsi" w:cstheme="majorBidi"/>
                <w:color w:val="0070C0"/>
              </w:rPr>
            </w:pPr>
            <w:r w:rsidRPr="00DA7FD4">
              <w:rPr>
                <w:rFonts w:asciiTheme="majorHAnsi" w:eastAsiaTheme="majorEastAsia" w:hAnsiTheme="majorHAnsi" w:cstheme="majorBidi"/>
                <w:color w:val="0070C0"/>
              </w:rPr>
              <w:t>DATA SUBMISSION ENHANCEMENTS</w:t>
            </w:r>
          </w:p>
        </w:tc>
      </w:tr>
      <w:tr w:rsidR="00C449A7" w:rsidRPr="00F230C1" w14:paraId="3EF13925" w14:textId="77777777" w:rsidTr="00DA7FD4">
        <w:trPr>
          <w:trHeight w:val="169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44F58C06" w14:textId="66754C66"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7</w:t>
            </w:r>
          </w:p>
        </w:tc>
        <w:tc>
          <w:tcPr>
            <w:tcW w:w="4536" w:type="dxa"/>
            <w:shd w:val="clear" w:color="auto" w:fill="auto"/>
            <w:vAlign w:val="center"/>
          </w:tcPr>
          <w:p w14:paraId="5F1A1D32" w14:textId="77777777" w:rsidR="00F230C1" w:rsidRPr="00DA7FD4" w:rsidRDefault="00B64148">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Tool for Proprietary Index Submissions</w:t>
            </w:r>
          </w:p>
          <w:p w14:paraId="1B099C79" w14:textId="7DBD1EAE" w:rsidR="00B64148" w:rsidRPr="00F230C1" w:rsidRDefault="00CB4773">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3C2C6D">
              <w:rPr>
                <w:rStyle w:val="eop"/>
                <w:rFonts w:ascii="Calibri" w:eastAsiaTheme="majorEastAsia" w:hAnsi="Calibri" w:cs="Calibri"/>
              </w:rPr>
              <w:t>Do you concur with the DSB’s proposal to</w:t>
            </w:r>
            <w:r>
              <w:rPr>
                <w:rStyle w:val="eop"/>
                <w:rFonts w:ascii="Calibri" w:eastAsiaTheme="majorEastAsia" w:hAnsi="Calibri" w:cs="Calibri"/>
              </w:rPr>
              <w:t xml:space="preserve"> take no further action on a tool to enhance the proprietary index submission process?</w:t>
            </w:r>
          </w:p>
        </w:tc>
        <w:tc>
          <w:tcPr>
            <w:tcW w:w="4394" w:type="dxa"/>
            <w:shd w:val="clear" w:color="auto" w:fill="auto"/>
            <w:vAlign w:val="center"/>
          </w:tcPr>
          <w:p w14:paraId="5AC47CB6" w14:textId="77777777" w:rsidR="00F230C1" w:rsidRPr="00F230C1" w:rsidRDefault="00F230C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05194612" w14:textId="77777777" w:rsidTr="00DA7FD4">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43A9B7FC" w14:textId="3D00C39E"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8</w:t>
            </w:r>
          </w:p>
        </w:tc>
        <w:tc>
          <w:tcPr>
            <w:tcW w:w="4536" w:type="dxa"/>
            <w:shd w:val="clear" w:color="auto" w:fill="auto"/>
            <w:vAlign w:val="center"/>
          </w:tcPr>
          <w:p w14:paraId="7D4794CD" w14:textId="77777777" w:rsidR="00F230C1" w:rsidRPr="00DA7FD4" w:rsidRDefault="00B64148">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SLA for Proprietary Index Submissions</w:t>
            </w:r>
          </w:p>
          <w:p w14:paraId="61042725" w14:textId="2288D07E" w:rsidR="00B64148" w:rsidRPr="00F230C1" w:rsidRDefault="00CB4773">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0F5381">
              <w:rPr>
                <w:rStyle w:val="eop"/>
                <w:rFonts w:ascii="Calibri" w:eastAsiaTheme="majorEastAsia" w:hAnsi="Calibri" w:cs="Calibri"/>
              </w:rPr>
              <w:t>Do you concur with the DSB’s proposal</w:t>
            </w:r>
            <w:r>
              <w:rPr>
                <w:rStyle w:val="eop"/>
                <w:rFonts w:ascii="Calibri" w:eastAsiaTheme="majorEastAsia" w:hAnsi="Calibri" w:cs="Calibri"/>
              </w:rPr>
              <w:t xml:space="preserve"> to keep unchanged the SLA for proprietary index submissions</w:t>
            </w:r>
            <w:r w:rsidRPr="000F5381">
              <w:rPr>
                <w:rStyle w:val="eop"/>
                <w:rFonts w:ascii="Calibri" w:eastAsiaTheme="majorEastAsia" w:hAnsi="Calibri" w:cs="Calibri"/>
              </w:rPr>
              <w:t>?</w:t>
            </w:r>
          </w:p>
        </w:tc>
        <w:tc>
          <w:tcPr>
            <w:tcW w:w="4394" w:type="dxa"/>
            <w:shd w:val="clear" w:color="auto" w:fill="auto"/>
            <w:vAlign w:val="center"/>
          </w:tcPr>
          <w:p w14:paraId="775EA628" w14:textId="77777777" w:rsidR="00F230C1" w:rsidRPr="00F230C1" w:rsidRDefault="00F230C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460958BF" w14:textId="77777777" w:rsidTr="00DA7FD4">
        <w:trPr>
          <w:trHeight w:val="2561"/>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35A1C5A1" w14:textId="615D57B8"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9</w:t>
            </w:r>
          </w:p>
        </w:tc>
        <w:tc>
          <w:tcPr>
            <w:tcW w:w="4536" w:type="dxa"/>
            <w:shd w:val="clear" w:color="auto" w:fill="auto"/>
            <w:vAlign w:val="center"/>
          </w:tcPr>
          <w:p w14:paraId="1BE025FF" w14:textId="429BB56E" w:rsidR="00F230C1" w:rsidRPr="00DA7FD4" w:rsidRDefault="00B64148">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Automated User Submission Process</w:t>
            </w:r>
            <w:r w:rsidRPr="00AC3510">
              <w:rPr>
                <w:u w:val="single"/>
              </w:rPr>
              <w:t xml:space="preserve"> </w:t>
            </w:r>
            <w:r w:rsidRPr="00DA7FD4">
              <w:rPr>
                <w:u w:val="single"/>
              </w:rPr>
              <w:t xml:space="preserve">for Proprietary Indices </w:t>
            </w:r>
          </w:p>
          <w:p w14:paraId="24EC0AA9" w14:textId="58BCC973" w:rsidR="00BC1F46" w:rsidRDefault="00BC1F46" w:rsidP="00BC1F46">
            <w:pPr>
              <w:pStyle w:val="paragraph"/>
              <w:spacing w:before="240" w:beforeAutospacing="0" w:after="120" w:afterAutospacing="0" w:line="276"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Calibri" w:eastAsiaTheme="majorEastAsia" w:hAnsi="Calibri" w:cs="Calibri"/>
                <w:sz w:val="22"/>
                <w:szCs w:val="22"/>
              </w:rPr>
            </w:pPr>
            <w:r w:rsidRPr="0025003A">
              <w:rPr>
                <w:rStyle w:val="eop"/>
                <w:rFonts w:ascii="Calibri" w:eastAsiaTheme="majorEastAsia" w:hAnsi="Calibri" w:cs="Calibri"/>
                <w:sz w:val="22"/>
                <w:szCs w:val="22"/>
              </w:rPr>
              <w:t xml:space="preserve">Do you concur with the DSB’s proposal to </w:t>
            </w:r>
            <w:r>
              <w:rPr>
                <w:rStyle w:val="eop"/>
                <w:rFonts w:ascii="Calibri" w:eastAsiaTheme="majorEastAsia" w:hAnsi="Calibri" w:cs="Calibri"/>
                <w:sz w:val="22"/>
                <w:szCs w:val="22"/>
              </w:rPr>
              <w:t>investigate the provision of an automated user submissions process as part of the DSB’s business as usual resourcing and prioritisation</w:t>
            </w:r>
            <w:r w:rsidRPr="00716426">
              <w:rPr>
                <w:rStyle w:val="eop"/>
                <w:rFonts w:ascii="Calibri" w:eastAsiaTheme="majorEastAsia" w:hAnsi="Calibri" w:cs="Calibri"/>
                <w:sz w:val="22"/>
                <w:szCs w:val="22"/>
              </w:rPr>
              <w:t>?</w:t>
            </w:r>
          </w:p>
          <w:p w14:paraId="1A2787F5" w14:textId="00FC8FF6" w:rsidR="00B64148" w:rsidRPr="00F230C1" w:rsidRDefault="00B64148">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c>
          <w:tcPr>
            <w:tcW w:w="4394" w:type="dxa"/>
            <w:shd w:val="clear" w:color="auto" w:fill="auto"/>
            <w:vAlign w:val="center"/>
          </w:tcPr>
          <w:p w14:paraId="79978D01" w14:textId="77777777" w:rsidR="00F230C1" w:rsidRPr="00F230C1" w:rsidRDefault="00F230C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0AE7DC3E" w14:textId="77777777" w:rsidTr="00DA7FD4">
        <w:trPr>
          <w:cnfStyle w:val="000000100000" w:firstRow="0" w:lastRow="0" w:firstColumn="0" w:lastColumn="0" w:oddVBand="0" w:evenVBand="0" w:oddHBand="1" w:evenHBand="0" w:firstRowFirstColumn="0" w:firstRowLastColumn="0" w:lastRowFirstColumn="0" w:lastRowLastColumn="0"/>
          <w:trHeight w:val="266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F9E7B1D" w14:textId="3D4B9748"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10</w:t>
            </w:r>
          </w:p>
        </w:tc>
        <w:tc>
          <w:tcPr>
            <w:tcW w:w="4536" w:type="dxa"/>
            <w:shd w:val="clear" w:color="auto" w:fill="auto"/>
            <w:vAlign w:val="center"/>
          </w:tcPr>
          <w:p w14:paraId="13F2AB5E" w14:textId="77777777" w:rsidR="00F230C1" w:rsidRPr="00DA7FD4" w:rsidRDefault="00B64148">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Machine-Readable Format for Proprietary Indices</w:t>
            </w:r>
          </w:p>
          <w:p w14:paraId="2DE5FEAC" w14:textId="110D4077" w:rsidR="00B64148" w:rsidRPr="00F230C1" w:rsidRDefault="00AC351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4F64A7">
              <w:rPr>
                <w:rStyle w:val="eop"/>
                <w:rFonts w:ascii="Calibri" w:eastAsiaTheme="majorEastAsia" w:hAnsi="Calibri" w:cs="Calibri"/>
              </w:rPr>
              <w:t>Do you concur with the DSB’s proposal</w:t>
            </w:r>
            <w:r>
              <w:rPr>
                <w:rStyle w:val="eop"/>
                <w:rFonts w:ascii="Calibri" w:eastAsiaTheme="majorEastAsia" w:hAnsi="Calibri" w:cs="Calibri"/>
              </w:rPr>
              <w:t xml:space="preserve"> to investigate the automated provision of the full of list proprietary indices in a machine-readable format as part of the DSB’s business as usual resourcing and prioritisation</w:t>
            </w:r>
            <w:r w:rsidRPr="00716426">
              <w:rPr>
                <w:rStyle w:val="eop"/>
                <w:rFonts w:ascii="Calibri" w:eastAsiaTheme="majorEastAsia" w:hAnsi="Calibri" w:cs="Calibri"/>
              </w:rPr>
              <w:t>?</w:t>
            </w:r>
          </w:p>
        </w:tc>
        <w:tc>
          <w:tcPr>
            <w:tcW w:w="4394" w:type="dxa"/>
            <w:shd w:val="clear" w:color="auto" w:fill="auto"/>
            <w:vAlign w:val="center"/>
          </w:tcPr>
          <w:p w14:paraId="6B67DF21" w14:textId="77777777" w:rsidR="00F230C1" w:rsidRPr="00F230C1" w:rsidRDefault="00F230C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19606CFA" w14:textId="77777777" w:rsidTr="00DA7FD4">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7BF8F5AF" w14:textId="0BEF9866"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11</w:t>
            </w:r>
          </w:p>
        </w:tc>
        <w:tc>
          <w:tcPr>
            <w:tcW w:w="4536" w:type="dxa"/>
            <w:shd w:val="clear" w:color="auto" w:fill="auto"/>
            <w:vAlign w:val="center"/>
          </w:tcPr>
          <w:p w14:paraId="69EA4FDA" w14:textId="77777777" w:rsidR="00F230C1" w:rsidRPr="00DA7FD4" w:rsidRDefault="00B45A39">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LEI for CDS Single Name</w:t>
            </w:r>
          </w:p>
          <w:p w14:paraId="18F63F80" w14:textId="4A9C5109" w:rsidR="00B45A39" w:rsidRPr="00F230C1" w:rsidRDefault="00136496">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DD29ED">
              <w:rPr>
                <w:rStyle w:val="eop"/>
                <w:rFonts w:ascii="Calibri" w:eastAsiaTheme="majorEastAsia" w:hAnsi="Calibri" w:cs="Calibri"/>
              </w:rPr>
              <w:t xml:space="preserve">Do you concur with the DSB’s proposal </w:t>
            </w:r>
            <w:r>
              <w:rPr>
                <w:rStyle w:val="eop"/>
                <w:rFonts w:ascii="Calibri" w:eastAsiaTheme="majorEastAsia" w:hAnsi="Calibri" w:cs="Calibri"/>
              </w:rPr>
              <w:t>for the build of the LEI-ISIN mapping service for CDS single names?</w:t>
            </w:r>
          </w:p>
        </w:tc>
        <w:tc>
          <w:tcPr>
            <w:tcW w:w="4394" w:type="dxa"/>
            <w:shd w:val="clear" w:color="auto" w:fill="auto"/>
            <w:vAlign w:val="center"/>
          </w:tcPr>
          <w:p w14:paraId="39EECDF8" w14:textId="77777777" w:rsidR="00F230C1" w:rsidRPr="00F230C1" w:rsidRDefault="00F230C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449A7" w:rsidRPr="00F230C1" w14:paraId="23EB453A" w14:textId="77777777" w:rsidTr="00DA7FD4">
        <w:trPr>
          <w:cnfStyle w:val="000000100000" w:firstRow="0" w:lastRow="0" w:firstColumn="0" w:lastColumn="0" w:oddVBand="0" w:evenVBand="0" w:oddHBand="1"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3416A0B" w14:textId="48267EC4" w:rsidR="00F230C1" w:rsidRPr="00F230C1" w:rsidRDefault="00EB02B7"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lastRenderedPageBreak/>
              <w:t>12</w:t>
            </w:r>
          </w:p>
        </w:tc>
        <w:tc>
          <w:tcPr>
            <w:tcW w:w="4536" w:type="dxa"/>
            <w:shd w:val="clear" w:color="auto" w:fill="auto"/>
            <w:vAlign w:val="center"/>
          </w:tcPr>
          <w:p w14:paraId="04668D15" w14:textId="77777777" w:rsidR="00F230C1" w:rsidRPr="00DA7FD4" w:rsidRDefault="00B45A39">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Validation of CDS Single Name</w:t>
            </w:r>
          </w:p>
          <w:p w14:paraId="1F8DFCD1" w14:textId="42C939C3" w:rsidR="00B45A39" w:rsidRPr="00F230C1" w:rsidRDefault="00693917">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FA7CBE">
              <w:rPr>
                <w:rStyle w:val="eop"/>
                <w:rFonts w:ascii="Calibri" w:eastAsiaTheme="majorEastAsia" w:hAnsi="Calibri" w:cs="Calibri"/>
              </w:rPr>
              <w:t>Do you concur with the DSB’s proposal</w:t>
            </w:r>
            <w:r>
              <w:rPr>
                <w:rStyle w:val="eop"/>
                <w:rFonts w:ascii="Calibri" w:eastAsiaTheme="majorEastAsia" w:hAnsi="Calibri" w:cs="Calibri"/>
              </w:rPr>
              <w:t xml:space="preserve"> to </w:t>
            </w:r>
            <w:r w:rsidRPr="00FA7CBE">
              <w:rPr>
                <w:rStyle w:val="eop"/>
                <w:rFonts w:ascii="Calibri" w:eastAsiaTheme="majorEastAsia" w:hAnsi="Calibri" w:cs="Calibri"/>
              </w:rPr>
              <w:t>examine the number of CDS SN ISINs that have been incorrectly created and work with the PC to determine next steps, if any?</w:t>
            </w:r>
          </w:p>
        </w:tc>
        <w:tc>
          <w:tcPr>
            <w:tcW w:w="4394" w:type="dxa"/>
            <w:shd w:val="clear" w:color="auto" w:fill="auto"/>
            <w:vAlign w:val="center"/>
          </w:tcPr>
          <w:p w14:paraId="2528A915" w14:textId="77777777" w:rsidR="00F230C1" w:rsidRPr="00F230C1" w:rsidRDefault="00F230C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F00232" w:rsidRPr="00F230C1" w14:paraId="660BDB81" w14:textId="77777777" w:rsidTr="00DA7FD4">
        <w:trPr>
          <w:trHeight w:val="239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19002727" w14:textId="4FE97F61" w:rsidR="00F00232" w:rsidRPr="00F230C1" w:rsidRDefault="00F00232"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13</w:t>
            </w:r>
          </w:p>
        </w:tc>
        <w:tc>
          <w:tcPr>
            <w:tcW w:w="4536" w:type="dxa"/>
            <w:shd w:val="clear" w:color="auto" w:fill="auto"/>
            <w:vAlign w:val="center"/>
          </w:tcPr>
          <w:p w14:paraId="2E09FC4F" w14:textId="77777777" w:rsidR="00F00232" w:rsidRPr="00DA7FD4" w:rsidRDefault="00B45A39">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Supplemental Data for ISIN-LEI Mapping</w:t>
            </w:r>
          </w:p>
          <w:p w14:paraId="35EABED0" w14:textId="6183B6B2" w:rsidR="00B45A39" w:rsidRPr="00F230C1" w:rsidRDefault="00693917">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F80954">
              <w:rPr>
                <w:rStyle w:val="eop"/>
                <w:rFonts w:ascii="Calibri" w:eastAsiaTheme="majorEastAsia" w:hAnsi="Calibri" w:cs="Calibri"/>
              </w:rPr>
              <w:t>Do you concur with the DSB’s proposal</w:t>
            </w:r>
            <w:r>
              <w:rPr>
                <w:rStyle w:val="eop"/>
                <w:rFonts w:ascii="Calibri" w:eastAsiaTheme="majorEastAsia" w:hAnsi="Calibri" w:cs="Calibri"/>
              </w:rPr>
              <w:t xml:space="preserve"> to perform initial analysis to further explore the supplemental data examples cited by users as part of the DSB’s business as usual resourcing and prioritisation</w:t>
            </w:r>
            <w:r w:rsidRPr="00716426">
              <w:rPr>
                <w:rStyle w:val="eop"/>
                <w:rFonts w:ascii="Calibri" w:eastAsiaTheme="majorEastAsia" w:hAnsi="Calibri" w:cs="Calibri"/>
              </w:rPr>
              <w:t>?</w:t>
            </w:r>
          </w:p>
        </w:tc>
        <w:tc>
          <w:tcPr>
            <w:tcW w:w="4394" w:type="dxa"/>
            <w:shd w:val="clear" w:color="auto" w:fill="auto"/>
            <w:vAlign w:val="center"/>
          </w:tcPr>
          <w:p w14:paraId="09A6FB85" w14:textId="77777777" w:rsidR="00F00232" w:rsidRPr="00F230C1" w:rsidRDefault="00F00232">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F00232" w:rsidRPr="00F230C1" w14:paraId="6BB3BF31" w14:textId="77777777" w:rsidTr="00DA7FD4">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FF0DAEC" w14:textId="679895C1" w:rsidR="00F00232" w:rsidRPr="00F230C1" w:rsidRDefault="00F00232"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14</w:t>
            </w:r>
          </w:p>
        </w:tc>
        <w:tc>
          <w:tcPr>
            <w:tcW w:w="4536" w:type="dxa"/>
            <w:shd w:val="clear" w:color="auto" w:fill="auto"/>
            <w:vAlign w:val="center"/>
          </w:tcPr>
          <w:p w14:paraId="710B9BD8" w14:textId="77777777" w:rsidR="00F00232" w:rsidRPr="00DA7FD4" w:rsidRDefault="00B45A39">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Mapping of Index Names to Underlying Identifiers</w:t>
            </w:r>
          </w:p>
          <w:p w14:paraId="060B81A1" w14:textId="676D7321" w:rsidR="00B45A39" w:rsidRPr="00F230C1" w:rsidRDefault="00693917">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1966FE">
              <w:rPr>
                <w:rStyle w:val="eop"/>
                <w:rFonts w:ascii="Calibri" w:eastAsiaTheme="majorEastAsia" w:hAnsi="Calibri" w:cs="Calibri"/>
              </w:rPr>
              <w:t>Do you concur with the DSB’s proposal</w:t>
            </w:r>
            <w:r>
              <w:rPr>
                <w:rStyle w:val="eop"/>
                <w:rFonts w:ascii="Calibri" w:eastAsiaTheme="majorEastAsia" w:hAnsi="Calibri" w:cs="Calibri"/>
              </w:rPr>
              <w:t xml:space="preserve"> </w:t>
            </w:r>
            <w:r w:rsidRPr="001966FE">
              <w:rPr>
                <w:rStyle w:val="eop"/>
                <w:rFonts w:ascii="Calibri" w:eastAsiaTheme="majorEastAsia" w:hAnsi="Calibri" w:cs="Calibri"/>
              </w:rPr>
              <w:t>to perform the business and technical analysis</w:t>
            </w:r>
            <w:r>
              <w:rPr>
                <w:rStyle w:val="eop"/>
                <w:rFonts w:ascii="Calibri" w:eastAsiaTheme="majorEastAsia" w:hAnsi="Calibri" w:cs="Calibri"/>
              </w:rPr>
              <w:t xml:space="preserve"> on the mapping of index names to underlying identifiers?</w:t>
            </w:r>
          </w:p>
        </w:tc>
        <w:tc>
          <w:tcPr>
            <w:tcW w:w="4394" w:type="dxa"/>
            <w:shd w:val="clear" w:color="auto" w:fill="auto"/>
            <w:vAlign w:val="center"/>
          </w:tcPr>
          <w:p w14:paraId="0278B491" w14:textId="77777777" w:rsidR="00F00232" w:rsidRPr="00F230C1" w:rsidRDefault="00F00232">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F00232" w:rsidRPr="00F230C1" w14:paraId="198CB59E" w14:textId="77777777" w:rsidTr="00DA7FD4">
        <w:trPr>
          <w:trHeight w:val="2263"/>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9BAB48F" w14:textId="567DB863" w:rsidR="00F00232" w:rsidRPr="00F230C1" w:rsidRDefault="00F00232"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15</w:t>
            </w:r>
          </w:p>
        </w:tc>
        <w:tc>
          <w:tcPr>
            <w:tcW w:w="4536" w:type="dxa"/>
            <w:shd w:val="clear" w:color="auto" w:fill="auto"/>
            <w:vAlign w:val="center"/>
          </w:tcPr>
          <w:p w14:paraId="3D830332" w14:textId="77777777" w:rsidR="00F00232" w:rsidRPr="00DA7FD4" w:rsidRDefault="00B45A39">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Data Review Process</w:t>
            </w:r>
          </w:p>
          <w:p w14:paraId="3AADC929" w14:textId="565C262E" w:rsidR="00B45A39" w:rsidRPr="00F230C1" w:rsidRDefault="00693917">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136C99">
              <w:rPr>
                <w:rStyle w:val="eop"/>
                <w:rFonts w:ascii="Calibri" w:eastAsiaTheme="majorEastAsia" w:hAnsi="Calibri" w:cs="Calibri"/>
              </w:rPr>
              <w:t>Do you concur with the DSB’s proposal</w:t>
            </w:r>
            <w:r>
              <w:rPr>
                <w:rStyle w:val="eop"/>
                <w:rFonts w:ascii="Calibri" w:eastAsiaTheme="majorEastAsia" w:hAnsi="Calibri" w:cs="Calibri"/>
              </w:rPr>
              <w:t xml:space="preserve"> </w:t>
            </w:r>
            <w:r w:rsidRPr="00136C99">
              <w:rPr>
                <w:rStyle w:val="eop"/>
                <w:rFonts w:ascii="Calibri" w:eastAsiaTheme="majorEastAsia" w:hAnsi="Calibri" w:cs="Calibri"/>
              </w:rPr>
              <w:t>to work with the PC to review each of the requests for additional underlying data made above on a case by case basis as part of its business as usual</w:t>
            </w:r>
            <w:r>
              <w:rPr>
                <w:rStyle w:val="eop"/>
                <w:rFonts w:ascii="Calibri" w:eastAsiaTheme="majorEastAsia" w:hAnsi="Calibri" w:cs="Calibri"/>
              </w:rPr>
              <w:t xml:space="preserve"> operations</w:t>
            </w:r>
            <w:r w:rsidRPr="00136C99">
              <w:rPr>
                <w:rStyle w:val="eop"/>
                <w:rFonts w:ascii="Calibri" w:eastAsiaTheme="majorEastAsia" w:hAnsi="Calibri" w:cs="Calibri"/>
              </w:rPr>
              <w:t>?</w:t>
            </w:r>
          </w:p>
        </w:tc>
        <w:tc>
          <w:tcPr>
            <w:tcW w:w="4394" w:type="dxa"/>
            <w:shd w:val="clear" w:color="auto" w:fill="auto"/>
            <w:vAlign w:val="center"/>
          </w:tcPr>
          <w:p w14:paraId="380B035C" w14:textId="77777777" w:rsidR="00F00232" w:rsidRPr="00F230C1" w:rsidRDefault="00F00232">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FB4D03" w:rsidRPr="00F230C1" w14:paraId="22059F35"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079609E1" w14:textId="1842E60E" w:rsidR="00FB4D03" w:rsidRPr="00DA7FD4" w:rsidRDefault="00FB4D03" w:rsidP="00DA7FD4">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t>SERVICE LEVELS</w:t>
            </w:r>
          </w:p>
        </w:tc>
      </w:tr>
      <w:tr w:rsidR="003F62E3" w:rsidRPr="00F230C1" w14:paraId="32152B85" w14:textId="77777777" w:rsidTr="00DA7FD4">
        <w:trPr>
          <w:trHeight w:val="1395"/>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46203608" w14:textId="126B53E1" w:rsidR="003F62E3" w:rsidRPr="00F230C1" w:rsidRDefault="003F62E3"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16</w:t>
            </w:r>
          </w:p>
        </w:tc>
        <w:tc>
          <w:tcPr>
            <w:tcW w:w="4536" w:type="dxa"/>
            <w:shd w:val="clear" w:color="auto" w:fill="auto"/>
            <w:vAlign w:val="center"/>
          </w:tcPr>
          <w:p w14:paraId="104E8269" w14:textId="77777777" w:rsidR="003F62E3" w:rsidRPr="00DA7FD4" w:rsidRDefault="003F62E3">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Bulk ISIN Creation</w:t>
            </w:r>
          </w:p>
          <w:p w14:paraId="5CC59D42" w14:textId="21AD201E" w:rsidR="003F62E3" w:rsidRPr="00F230C1" w:rsidRDefault="00C34AE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1966FE">
              <w:rPr>
                <w:rStyle w:val="eop"/>
                <w:rFonts w:ascii="Calibri" w:eastAsiaTheme="majorEastAsia" w:hAnsi="Calibri" w:cs="Calibri"/>
              </w:rPr>
              <w:t>Do you concur with the DSB’s proposal</w:t>
            </w:r>
            <w:r>
              <w:rPr>
                <w:rStyle w:val="eop"/>
                <w:rFonts w:ascii="Calibri" w:eastAsiaTheme="majorEastAsia" w:hAnsi="Calibri" w:cs="Calibri"/>
              </w:rPr>
              <w:t xml:space="preserve"> </w:t>
            </w:r>
            <w:r w:rsidRPr="001966FE">
              <w:rPr>
                <w:rStyle w:val="eop"/>
                <w:rFonts w:ascii="Calibri" w:eastAsiaTheme="majorEastAsia" w:hAnsi="Calibri" w:cs="Calibri"/>
              </w:rPr>
              <w:t>to</w:t>
            </w:r>
            <w:r>
              <w:rPr>
                <w:rStyle w:val="eop"/>
                <w:rFonts w:ascii="Calibri" w:eastAsiaTheme="majorEastAsia" w:hAnsi="Calibri" w:cs="Calibri"/>
              </w:rPr>
              <w:t xml:space="preserve"> drop further analysis on bulk ISIN creation?</w:t>
            </w:r>
          </w:p>
        </w:tc>
        <w:tc>
          <w:tcPr>
            <w:tcW w:w="4394" w:type="dxa"/>
            <w:shd w:val="clear" w:color="auto" w:fill="auto"/>
            <w:vAlign w:val="center"/>
          </w:tcPr>
          <w:p w14:paraId="242ECA57" w14:textId="77777777" w:rsidR="003F62E3" w:rsidRPr="00F230C1" w:rsidRDefault="003F62E3">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3F62E3" w:rsidRPr="00F230C1" w14:paraId="3482A8F8"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713364D4" w14:textId="021C4E97" w:rsidR="003F62E3" w:rsidRPr="00F230C1" w:rsidRDefault="003F62E3"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17</w:t>
            </w:r>
          </w:p>
        </w:tc>
        <w:tc>
          <w:tcPr>
            <w:tcW w:w="4536" w:type="dxa"/>
            <w:shd w:val="clear" w:color="auto" w:fill="auto"/>
            <w:vAlign w:val="center"/>
          </w:tcPr>
          <w:p w14:paraId="6DE1B252" w14:textId="77777777" w:rsidR="003F62E3" w:rsidRPr="00DA7FD4" w:rsidRDefault="003F62E3">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Searchable On-Line Utility</w:t>
            </w:r>
          </w:p>
          <w:p w14:paraId="5BB01F36" w14:textId="2A20FAB9" w:rsidR="003F62E3" w:rsidRPr="00F230C1" w:rsidRDefault="00C34AE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B73C4C">
              <w:rPr>
                <w:rStyle w:val="eop"/>
                <w:rFonts w:ascii="Calibri" w:eastAsiaTheme="majorEastAsia" w:hAnsi="Calibri" w:cs="Calibri"/>
              </w:rPr>
              <w:t>Do you concur with the DSB’s proposa</w:t>
            </w:r>
            <w:r>
              <w:rPr>
                <w:rStyle w:val="eop"/>
                <w:rFonts w:ascii="Calibri" w:eastAsiaTheme="majorEastAsia" w:hAnsi="Calibri" w:cs="Calibri"/>
              </w:rPr>
              <w:t xml:space="preserve">l </w:t>
            </w:r>
            <w:r w:rsidRPr="00B73C4C">
              <w:rPr>
                <w:rStyle w:val="eop"/>
                <w:rFonts w:ascii="Calibri" w:eastAsiaTheme="majorEastAsia" w:hAnsi="Calibri" w:cs="Calibri"/>
              </w:rPr>
              <w:t>to work with the TAC and PC to agree an appropriate design and functionality</w:t>
            </w:r>
            <w:r>
              <w:rPr>
                <w:rStyle w:val="eop"/>
                <w:rFonts w:ascii="Calibri" w:eastAsiaTheme="majorEastAsia" w:hAnsi="Calibri" w:cs="Calibri"/>
              </w:rPr>
              <w:t xml:space="preserve"> </w:t>
            </w:r>
            <w:r w:rsidRPr="00136C99">
              <w:rPr>
                <w:rStyle w:val="eop"/>
                <w:rFonts w:ascii="Calibri" w:eastAsiaTheme="majorEastAsia" w:hAnsi="Calibri" w:cs="Calibri"/>
              </w:rPr>
              <w:t>as part of its business as usual</w:t>
            </w:r>
            <w:r>
              <w:rPr>
                <w:rStyle w:val="eop"/>
                <w:rFonts w:ascii="Calibri" w:eastAsiaTheme="majorEastAsia" w:hAnsi="Calibri" w:cs="Calibri"/>
              </w:rPr>
              <w:t xml:space="preserve"> operations</w:t>
            </w:r>
            <w:r w:rsidRPr="00B73C4C">
              <w:rPr>
                <w:rStyle w:val="eop"/>
                <w:rFonts w:ascii="Calibri" w:eastAsiaTheme="majorEastAsia" w:hAnsi="Calibri" w:cs="Calibri"/>
              </w:rPr>
              <w:t>?</w:t>
            </w:r>
          </w:p>
        </w:tc>
        <w:tc>
          <w:tcPr>
            <w:tcW w:w="4394" w:type="dxa"/>
            <w:shd w:val="clear" w:color="auto" w:fill="auto"/>
            <w:vAlign w:val="center"/>
          </w:tcPr>
          <w:p w14:paraId="0EAA40BF" w14:textId="77777777" w:rsidR="003F62E3" w:rsidRPr="00F230C1" w:rsidRDefault="003F62E3">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3F62E3" w:rsidRPr="00F230C1" w14:paraId="195F30B3" w14:textId="77777777" w:rsidTr="00DA7FD4">
        <w:trPr>
          <w:trHeight w:val="1376"/>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0E3DBFA8" w14:textId="6B716814" w:rsidR="003F62E3" w:rsidRDefault="003F62E3"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lastRenderedPageBreak/>
              <w:t>18</w:t>
            </w:r>
          </w:p>
        </w:tc>
        <w:tc>
          <w:tcPr>
            <w:tcW w:w="4536" w:type="dxa"/>
            <w:shd w:val="clear" w:color="auto" w:fill="auto"/>
            <w:vAlign w:val="center"/>
          </w:tcPr>
          <w:p w14:paraId="6633A756" w14:textId="77777777" w:rsidR="003F62E3" w:rsidRPr="00DA7FD4" w:rsidRDefault="003F62E3">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Phone-Based Support</w:t>
            </w:r>
          </w:p>
          <w:p w14:paraId="71EE521E" w14:textId="0BBFDCEF" w:rsidR="003F62E3" w:rsidRPr="00F230C1" w:rsidRDefault="00C34AE1">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0A0492">
              <w:rPr>
                <w:rStyle w:val="eop"/>
                <w:rFonts w:ascii="Calibri" w:eastAsiaTheme="majorEastAsia" w:hAnsi="Calibri" w:cs="Calibri"/>
              </w:rPr>
              <w:t xml:space="preserve">Do you concur with the DSB’s proposal to drop further </w:t>
            </w:r>
            <w:r>
              <w:rPr>
                <w:rStyle w:val="eop"/>
                <w:rFonts w:ascii="Calibri" w:eastAsiaTheme="majorEastAsia" w:hAnsi="Calibri" w:cs="Calibri"/>
              </w:rPr>
              <w:t xml:space="preserve">investigation </w:t>
            </w:r>
            <w:r w:rsidRPr="000A0492">
              <w:rPr>
                <w:rStyle w:val="eop"/>
                <w:rFonts w:ascii="Calibri" w:eastAsiaTheme="majorEastAsia" w:hAnsi="Calibri" w:cs="Calibri"/>
              </w:rPr>
              <w:t xml:space="preserve">on </w:t>
            </w:r>
            <w:r>
              <w:rPr>
                <w:rStyle w:val="eop"/>
                <w:rFonts w:ascii="Calibri" w:eastAsiaTheme="majorEastAsia" w:hAnsi="Calibri" w:cs="Calibri"/>
              </w:rPr>
              <w:t>phone support</w:t>
            </w:r>
            <w:r w:rsidRPr="000A0492">
              <w:rPr>
                <w:rStyle w:val="eop"/>
                <w:rFonts w:ascii="Calibri" w:eastAsiaTheme="majorEastAsia" w:hAnsi="Calibri" w:cs="Calibri"/>
              </w:rPr>
              <w:t>?</w:t>
            </w:r>
          </w:p>
        </w:tc>
        <w:tc>
          <w:tcPr>
            <w:tcW w:w="4394" w:type="dxa"/>
            <w:shd w:val="clear" w:color="auto" w:fill="auto"/>
            <w:vAlign w:val="center"/>
          </w:tcPr>
          <w:p w14:paraId="5ED12AAE" w14:textId="77777777" w:rsidR="003F62E3" w:rsidRPr="00F230C1" w:rsidRDefault="003F62E3">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7A6A56" w:rsidRPr="00F230C1" w14:paraId="54ED554C" w14:textId="77777777" w:rsidTr="004F0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auto"/>
            <w:vAlign w:val="center"/>
          </w:tcPr>
          <w:p w14:paraId="73DC148C" w14:textId="46C5D03B" w:rsidR="007A6A56" w:rsidRDefault="007A6A56"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19</w:t>
            </w:r>
          </w:p>
        </w:tc>
        <w:tc>
          <w:tcPr>
            <w:tcW w:w="4536" w:type="dxa"/>
            <w:shd w:val="clear" w:color="auto" w:fill="auto"/>
            <w:vAlign w:val="center"/>
          </w:tcPr>
          <w:p w14:paraId="40A6CFE9" w14:textId="77777777" w:rsidR="007A6A56" w:rsidRPr="00DA7FD4" w:rsidRDefault="007A6A56">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Proactive AUP Monitoring</w:t>
            </w:r>
          </w:p>
          <w:p w14:paraId="5D0D30AD" w14:textId="77B5B120" w:rsidR="007A6A56" w:rsidRPr="00DA7FD4" w:rsidRDefault="007A6A56" w:rsidP="00DA7FD4">
            <w:pPr>
              <w:pStyle w:val="paragraph"/>
              <w:spacing w:before="240" w:beforeAutospacing="0" w:after="120" w:afterAutospacing="0" w:line="276"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heme="majorEastAsia" w:hAnsi="Calibri" w:cs="Calibri"/>
              </w:rPr>
            </w:pPr>
            <w:r>
              <w:rPr>
                <w:rStyle w:val="normaltextrun"/>
                <w:rFonts w:ascii="Calibri" w:hAnsi="Calibri" w:cs="Calibri"/>
                <w:b/>
                <w:color w:val="000000"/>
                <w:sz w:val="22"/>
                <w:szCs w:val="22"/>
              </w:rPr>
              <w:t>19(a)</w:t>
            </w:r>
            <w:r>
              <w:rPr>
                <w:rStyle w:val="eop"/>
                <w:rFonts w:ascii="Calibri" w:eastAsiaTheme="majorEastAsia" w:hAnsi="Calibri" w:cs="Calibri"/>
                <w:sz w:val="22"/>
                <w:szCs w:val="22"/>
              </w:rPr>
              <w:t>:</w:t>
            </w:r>
            <w:r w:rsidRPr="00F72611">
              <w:rPr>
                <w:rStyle w:val="eop"/>
                <w:rFonts w:ascii="Calibri" w:eastAsiaTheme="majorEastAsia" w:hAnsi="Calibri" w:cs="Calibri"/>
                <w:sz w:val="22"/>
                <w:szCs w:val="22"/>
              </w:rPr>
              <w:t xml:space="preserve"> </w:t>
            </w:r>
            <w:r w:rsidRPr="00B372B3">
              <w:rPr>
                <w:rStyle w:val="eop"/>
                <w:rFonts w:ascii="Calibri" w:eastAsiaTheme="majorEastAsia" w:hAnsi="Calibri" w:cs="Calibri"/>
                <w:sz w:val="22"/>
                <w:szCs w:val="22"/>
              </w:rPr>
              <w:t>Do you concur with the DSB’s proposal to implement the core functionality?</w:t>
            </w:r>
          </w:p>
        </w:tc>
        <w:tc>
          <w:tcPr>
            <w:tcW w:w="4394" w:type="dxa"/>
            <w:shd w:val="clear" w:color="auto" w:fill="auto"/>
            <w:vAlign w:val="center"/>
          </w:tcPr>
          <w:p w14:paraId="5E113363" w14:textId="77777777" w:rsidR="007A6A56" w:rsidRPr="00F230C1" w:rsidRDefault="007A6A56">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7A6A56" w:rsidRPr="00F230C1" w14:paraId="3CD46D84" w14:textId="77777777" w:rsidTr="00DA7FD4">
        <w:trPr>
          <w:trHeight w:val="1131"/>
        </w:trPr>
        <w:tc>
          <w:tcPr>
            <w:cnfStyle w:val="001000000000" w:firstRow="0" w:lastRow="0" w:firstColumn="1" w:lastColumn="0" w:oddVBand="0" w:evenVBand="0" w:oddHBand="0" w:evenHBand="0" w:firstRowFirstColumn="0" w:firstRowLastColumn="0" w:lastRowFirstColumn="0" w:lastRowLastColumn="0"/>
            <w:tcW w:w="0" w:type="dxa"/>
            <w:vMerge/>
            <w:shd w:val="clear" w:color="auto" w:fill="auto"/>
            <w:vAlign w:val="center"/>
          </w:tcPr>
          <w:p w14:paraId="165244BD" w14:textId="77777777" w:rsidR="007A6A56" w:rsidRDefault="007A6A56" w:rsidP="00CB4773">
            <w:pPr>
              <w:spacing w:before="120" w:line="276" w:lineRule="auto"/>
              <w:rPr>
                <w:rFonts w:asciiTheme="majorHAnsi" w:eastAsiaTheme="majorEastAsia" w:hAnsiTheme="majorHAnsi" w:cstheme="majorBidi"/>
                <w:color w:val="2E74B5" w:themeColor="accent1" w:themeShade="BF"/>
              </w:rPr>
            </w:pPr>
          </w:p>
        </w:tc>
        <w:tc>
          <w:tcPr>
            <w:tcW w:w="0" w:type="dxa"/>
            <w:shd w:val="clear" w:color="auto" w:fill="auto"/>
            <w:vAlign w:val="center"/>
          </w:tcPr>
          <w:p w14:paraId="6D23CD51" w14:textId="44FCEAB4" w:rsidR="007A6A56" w:rsidRPr="003F62E3" w:rsidRDefault="007A6A56" w:rsidP="00A013FF">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Pr>
                <w:rStyle w:val="eop"/>
                <w:rFonts w:ascii="Calibri" w:eastAsiaTheme="majorEastAsia" w:hAnsi="Calibri" w:cs="Calibri"/>
                <w:b/>
              </w:rPr>
              <w:t>19</w:t>
            </w:r>
            <w:r w:rsidRPr="00B372B3">
              <w:rPr>
                <w:rStyle w:val="eop"/>
                <w:rFonts w:ascii="Calibri" w:eastAsiaTheme="majorEastAsia" w:hAnsi="Calibri" w:cs="Calibri"/>
                <w:b/>
              </w:rPr>
              <w:t>(b):</w:t>
            </w:r>
            <w:r w:rsidRPr="00B372B3">
              <w:rPr>
                <w:rStyle w:val="eop"/>
                <w:rFonts w:ascii="Calibri" w:eastAsiaTheme="majorEastAsia" w:hAnsi="Calibri" w:cs="Calibri"/>
              </w:rPr>
              <w:t xml:space="preserve"> Do you concur with the implementation of the API functionality?</w:t>
            </w:r>
          </w:p>
        </w:tc>
        <w:tc>
          <w:tcPr>
            <w:tcW w:w="0" w:type="dxa"/>
            <w:shd w:val="clear" w:color="auto" w:fill="auto"/>
            <w:vAlign w:val="center"/>
          </w:tcPr>
          <w:p w14:paraId="11888148" w14:textId="77777777" w:rsidR="007A6A56" w:rsidRPr="00F230C1" w:rsidRDefault="007A6A56" w:rsidP="00A013FF">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DA629B" w:rsidRPr="00F230C1" w14:paraId="5EAE6EA5"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26E5F32B" w14:textId="393093CE" w:rsidR="00DA629B" w:rsidRPr="00DA7FD4" w:rsidRDefault="00DA629B" w:rsidP="00DA7FD4">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t>SERVICE AVAILABILITY</w:t>
            </w:r>
          </w:p>
        </w:tc>
      </w:tr>
      <w:tr w:rsidR="003F62E3" w:rsidRPr="00F230C1" w14:paraId="01815610" w14:textId="77777777" w:rsidTr="00DA7FD4">
        <w:trPr>
          <w:trHeight w:val="1962"/>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FEE39E0" w14:textId="0EEC45FB" w:rsidR="003F62E3" w:rsidRDefault="003F62E3" w:rsidP="00CB4773">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20</w:t>
            </w:r>
          </w:p>
        </w:tc>
        <w:tc>
          <w:tcPr>
            <w:tcW w:w="4536" w:type="dxa"/>
            <w:shd w:val="clear" w:color="auto" w:fill="auto"/>
            <w:vAlign w:val="center"/>
          </w:tcPr>
          <w:p w14:paraId="3196277C" w14:textId="77777777" w:rsidR="003F62E3" w:rsidRPr="00DA7FD4" w:rsidRDefault="000A214E" w:rsidP="00A013FF">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Downtime Window</w:t>
            </w:r>
          </w:p>
          <w:p w14:paraId="612F041D" w14:textId="68758474" w:rsidR="00D655EF" w:rsidRPr="00F230C1" w:rsidRDefault="00D655EF">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454808">
              <w:rPr>
                <w:rStyle w:val="eop"/>
                <w:rFonts w:ascii="Calibri" w:eastAsiaTheme="majorEastAsia" w:hAnsi="Calibri" w:cs="Calibri"/>
              </w:rPr>
              <w:t xml:space="preserve">Do you concur with the DSB’s proposal to change the </w:t>
            </w:r>
            <w:r w:rsidRPr="00454808">
              <w:rPr>
                <w:rStyle w:val="normaltextrun"/>
                <w:rFonts w:ascii="Calibri" w:hAnsi="Calibri" w:cs="Calibri"/>
                <w:bCs/>
                <w:color w:val="000000"/>
              </w:rPr>
              <w:t>DSB’s downtime hours to between 00:30AM Sunday UTC and 12:30PM Sunday UTC?</w:t>
            </w:r>
          </w:p>
        </w:tc>
        <w:tc>
          <w:tcPr>
            <w:tcW w:w="4394" w:type="dxa"/>
            <w:shd w:val="clear" w:color="auto" w:fill="auto"/>
            <w:vAlign w:val="center"/>
          </w:tcPr>
          <w:p w14:paraId="63BDC026" w14:textId="77777777" w:rsidR="003F62E3" w:rsidRPr="00F230C1" w:rsidRDefault="003F62E3">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B039DE" w:rsidRPr="00F230C1" w14:paraId="05662542"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64896149" w14:textId="621884E1" w:rsidR="00B039DE" w:rsidRPr="00DA7FD4" w:rsidRDefault="00B039DE" w:rsidP="00DA7FD4">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t>CYBERSECURITY</w:t>
            </w:r>
          </w:p>
        </w:tc>
      </w:tr>
      <w:tr w:rsidR="00677370" w:rsidRPr="00F230C1" w14:paraId="3A7F2FE9" w14:textId="77777777" w:rsidTr="00DA7FD4">
        <w:trPr>
          <w:trHeight w:val="1387"/>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9CF58A3" w14:textId="69B2BEBB"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21</w:t>
            </w:r>
          </w:p>
        </w:tc>
        <w:tc>
          <w:tcPr>
            <w:tcW w:w="4536" w:type="dxa"/>
            <w:shd w:val="clear" w:color="auto" w:fill="auto"/>
            <w:vAlign w:val="center"/>
          </w:tcPr>
          <w:p w14:paraId="122AE684" w14:textId="77777777" w:rsidR="00677370" w:rsidRPr="00DA7FD4" w:rsidRDefault="00677370" w:rsidP="00677370">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GUI Multi-Factor Authentication</w:t>
            </w:r>
          </w:p>
          <w:p w14:paraId="0288413B" w14:textId="490027B9" w:rsidR="00677370" w:rsidRPr="00F230C1" w:rsidRDefault="0009549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2C74B9">
              <w:rPr>
                <w:rStyle w:val="eop"/>
                <w:rFonts w:ascii="Calibri" w:eastAsiaTheme="majorEastAsia" w:hAnsi="Calibri" w:cs="Calibri"/>
              </w:rPr>
              <w:t>Do you concur with the DSB’s proposal</w:t>
            </w:r>
            <w:r>
              <w:rPr>
                <w:rStyle w:val="eop"/>
                <w:rFonts w:ascii="Calibri" w:eastAsiaTheme="majorEastAsia" w:hAnsi="Calibri" w:cs="Calibri"/>
              </w:rPr>
              <w:t xml:space="preserve"> to implement a minimal MFA solution for the GUI</w:t>
            </w:r>
            <w:r w:rsidRPr="002C74B9">
              <w:rPr>
                <w:rStyle w:val="eop"/>
                <w:rFonts w:ascii="Calibri" w:eastAsiaTheme="majorEastAsia" w:hAnsi="Calibri" w:cs="Calibri"/>
              </w:rPr>
              <w:t>?</w:t>
            </w:r>
          </w:p>
        </w:tc>
        <w:tc>
          <w:tcPr>
            <w:tcW w:w="4394" w:type="dxa"/>
            <w:shd w:val="clear" w:color="auto" w:fill="auto"/>
            <w:vAlign w:val="center"/>
          </w:tcPr>
          <w:p w14:paraId="403B3579"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339E801A" w14:textId="77777777" w:rsidTr="00DA7FD4">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3C5DDD07" w14:textId="3B2EFC56"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22</w:t>
            </w:r>
          </w:p>
        </w:tc>
        <w:tc>
          <w:tcPr>
            <w:tcW w:w="4536" w:type="dxa"/>
            <w:shd w:val="clear" w:color="auto" w:fill="auto"/>
            <w:vAlign w:val="center"/>
          </w:tcPr>
          <w:p w14:paraId="512FD810" w14:textId="77777777" w:rsidR="00677370" w:rsidRPr="00DA7FD4" w:rsidRDefault="00677370" w:rsidP="00677370">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Secure SDLC</w:t>
            </w:r>
          </w:p>
          <w:p w14:paraId="77F53825" w14:textId="45DDC0EA" w:rsidR="00677370" w:rsidRPr="00F230C1" w:rsidRDefault="0009549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7B5E90">
              <w:rPr>
                <w:rStyle w:val="eop"/>
                <w:rFonts w:ascii="Calibri" w:eastAsiaTheme="majorEastAsia" w:hAnsi="Calibri" w:cs="Calibri"/>
              </w:rPr>
              <w:t>Do you concur with the DSB’s proposal</w:t>
            </w:r>
            <w:r>
              <w:rPr>
                <w:rStyle w:val="eop"/>
                <w:rFonts w:ascii="Calibri" w:eastAsiaTheme="majorEastAsia" w:hAnsi="Calibri" w:cs="Calibri"/>
              </w:rPr>
              <w:t xml:space="preserve"> to move forward with analysis of Secure SDLC</w:t>
            </w:r>
            <w:r w:rsidRPr="007B5E90">
              <w:rPr>
                <w:rStyle w:val="eop"/>
                <w:rFonts w:ascii="Calibri" w:eastAsiaTheme="majorEastAsia" w:hAnsi="Calibri" w:cs="Calibri"/>
              </w:rPr>
              <w:t>?</w:t>
            </w:r>
          </w:p>
        </w:tc>
        <w:tc>
          <w:tcPr>
            <w:tcW w:w="4394" w:type="dxa"/>
            <w:shd w:val="clear" w:color="auto" w:fill="auto"/>
            <w:vAlign w:val="center"/>
          </w:tcPr>
          <w:p w14:paraId="1577E525"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164AF242" w14:textId="77777777" w:rsidTr="00DA7FD4">
        <w:trPr>
          <w:trHeight w:val="198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2A5401B" w14:textId="3B0AE6DC"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23</w:t>
            </w:r>
          </w:p>
        </w:tc>
        <w:tc>
          <w:tcPr>
            <w:tcW w:w="4536" w:type="dxa"/>
            <w:shd w:val="clear" w:color="auto" w:fill="auto"/>
            <w:vAlign w:val="center"/>
          </w:tcPr>
          <w:p w14:paraId="6EF2323B" w14:textId="77777777" w:rsidR="00677370" w:rsidRPr="00DA7FD4" w:rsidRDefault="00677370" w:rsidP="00677370">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ISO 27001/2 for Cyber Breach Risk</w:t>
            </w:r>
          </w:p>
          <w:p w14:paraId="789943C4" w14:textId="530CFC56" w:rsidR="00677370" w:rsidRPr="00F230C1" w:rsidRDefault="0009549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A50AEA">
              <w:rPr>
                <w:rStyle w:val="eop"/>
                <w:rFonts w:ascii="Calibri" w:eastAsiaTheme="majorEastAsia" w:hAnsi="Calibri" w:cs="Calibri"/>
              </w:rPr>
              <w:t>Do you concur with the DSB’s proposal</w:t>
            </w:r>
            <w:r>
              <w:rPr>
                <w:rStyle w:val="eop"/>
                <w:rFonts w:ascii="Calibri" w:eastAsiaTheme="majorEastAsia" w:hAnsi="Calibri" w:cs="Calibri"/>
              </w:rPr>
              <w:t xml:space="preserve"> </w:t>
            </w:r>
            <w:r w:rsidRPr="00A50AEA">
              <w:rPr>
                <w:rStyle w:val="eop"/>
                <w:rFonts w:ascii="Calibri" w:eastAsiaTheme="majorEastAsia" w:hAnsi="Calibri" w:cs="Calibri"/>
              </w:rPr>
              <w:t xml:space="preserve">to move forward with </w:t>
            </w:r>
            <w:r>
              <w:rPr>
                <w:rStyle w:val="eop"/>
                <w:rFonts w:ascii="Calibri" w:eastAsiaTheme="majorEastAsia" w:hAnsi="Calibri" w:cs="Calibri"/>
              </w:rPr>
              <w:t xml:space="preserve">the </w:t>
            </w:r>
            <w:r w:rsidRPr="00A50AEA">
              <w:rPr>
                <w:rStyle w:val="eop"/>
                <w:rFonts w:ascii="Calibri" w:eastAsiaTheme="majorEastAsia" w:hAnsi="Calibri" w:cs="Calibri"/>
              </w:rPr>
              <w:t xml:space="preserve">analysis </w:t>
            </w:r>
            <w:r>
              <w:rPr>
                <w:rStyle w:val="eop"/>
                <w:rFonts w:ascii="Calibri" w:eastAsiaTheme="majorEastAsia" w:hAnsi="Calibri" w:cs="Calibri"/>
              </w:rPr>
              <w:t xml:space="preserve">phase for the implementation of </w:t>
            </w:r>
            <w:r w:rsidRPr="00A50AEA">
              <w:rPr>
                <w:rStyle w:val="eop"/>
                <w:rFonts w:ascii="Calibri" w:eastAsiaTheme="majorEastAsia" w:hAnsi="Calibri" w:cs="Calibri"/>
              </w:rPr>
              <w:t>the ISO27001/27002 framework</w:t>
            </w:r>
            <w:r>
              <w:rPr>
                <w:rStyle w:val="eop"/>
                <w:rFonts w:ascii="Calibri" w:eastAsiaTheme="majorEastAsia" w:hAnsi="Calibri" w:cs="Calibri"/>
              </w:rPr>
              <w:t>?</w:t>
            </w:r>
          </w:p>
        </w:tc>
        <w:tc>
          <w:tcPr>
            <w:tcW w:w="4394" w:type="dxa"/>
            <w:shd w:val="clear" w:color="auto" w:fill="auto"/>
            <w:vAlign w:val="center"/>
          </w:tcPr>
          <w:p w14:paraId="2AC9AEFD"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7F32538B" w14:textId="77777777" w:rsidTr="00DA7FD4">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43C995B" w14:textId="541EBF72"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24</w:t>
            </w:r>
          </w:p>
        </w:tc>
        <w:tc>
          <w:tcPr>
            <w:tcW w:w="4536" w:type="dxa"/>
            <w:shd w:val="clear" w:color="auto" w:fill="auto"/>
            <w:vAlign w:val="center"/>
          </w:tcPr>
          <w:p w14:paraId="66207DD8" w14:textId="77777777" w:rsidR="00677370" w:rsidRPr="00DA7FD4" w:rsidRDefault="00677370" w:rsidP="00677370">
            <w:pPr>
              <w:spacing w:before="120" w:line="276" w:lineRule="auto"/>
              <w:cnfStyle w:val="000000100000" w:firstRow="0" w:lastRow="0" w:firstColumn="0" w:lastColumn="0" w:oddVBand="0" w:evenVBand="0" w:oddHBand="1" w:evenHBand="0" w:firstRowFirstColumn="0" w:firstRowLastColumn="0" w:lastRowFirstColumn="0" w:lastRowLastColumn="0"/>
              <w:rPr>
                <w:u w:val="single"/>
              </w:rPr>
            </w:pPr>
            <w:r w:rsidRPr="00DA7FD4">
              <w:rPr>
                <w:u w:val="single"/>
              </w:rPr>
              <w:t>ISO 27018 for PII Breach Risk</w:t>
            </w:r>
          </w:p>
          <w:p w14:paraId="33D4078F" w14:textId="606CCC7B" w:rsidR="00677370" w:rsidRPr="00F230C1" w:rsidRDefault="0009549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C66FB6">
              <w:rPr>
                <w:rStyle w:val="eop"/>
                <w:rFonts w:ascii="Calibri" w:eastAsiaTheme="majorEastAsia" w:hAnsi="Calibri" w:cs="Calibri"/>
              </w:rPr>
              <w:t>Do you concur with the DSB’s proposal</w:t>
            </w:r>
            <w:r>
              <w:rPr>
                <w:rStyle w:val="eop"/>
                <w:rFonts w:ascii="Calibri" w:eastAsiaTheme="majorEastAsia" w:hAnsi="Calibri" w:cs="Calibri"/>
              </w:rPr>
              <w:t xml:space="preserve"> to take no further action</w:t>
            </w:r>
            <w:r w:rsidRPr="00C66FB6">
              <w:rPr>
                <w:rStyle w:val="eop"/>
                <w:rFonts w:ascii="Calibri" w:eastAsiaTheme="majorEastAsia" w:hAnsi="Calibri" w:cs="Calibri"/>
              </w:rPr>
              <w:t>?</w:t>
            </w:r>
          </w:p>
        </w:tc>
        <w:tc>
          <w:tcPr>
            <w:tcW w:w="4394" w:type="dxa"/>
            <w:shd w:val="clear" w:color="auto" w:fill="auto"/>
            <w:vAlign w:val="center"/>
          </w:tcPr>
          <w:p w14:paraId="6832C812"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21EEE653" w14:textId="77777777" w:rsidTr="00DA7FD4">
        <w:trPr>
          <w:trHeight w:val="165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48BC091C" w14:textId="745D59FD"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lastRenderedPageBreak/>
              <w:t>25</w:t>
            </w:r>
          </w:p>
        </w:tc>
        <w:tc>
          <w:tcPr>
            <w:tcW w:w="4536" w:type="dxa"/>
            <w:shd w:val="clear" w:color="auto" w:fill="auto"/>
            <w:vAlign w:val="center"/>
          </w:tcPr>
          <w:p w14:paraId="216FF08D" w14:textId="77777777" w:rsidR="00677370" w:rsidRPr="00DA7FD4" w:rsidRDefault="00677370" w:rsidP="00677370">
            <w:pPr>
              <w:spacing w:before="120" w:line="276" w:lineRule="auto"/>
              <w:cnfStyle w:val="000000000000" w:firstRow="0" w:lastRow="0" w:firstColumn="0" w:lastColumn="0" w:oddVBand="0" w:evenVBand="0" w:oddHBand="0" w:evenHBand="0" w:firstRowFirstColumn="0" w:firstRowLastColumn="0" w:lastRowFirstColumn="0" w:lastRowLastColumn="0"/>
              <w:rPr>
                <w:u w:val="single"/>
              </w:rPr>
            </w:pPr>
            <w:r w:rsidRPr="00DA7FD4">
              <w:rPr>
                <w:u w:val="single"/>
              </w:rPr>
              <w:t>On-Boarding of CISO</w:t>
            </w:r>
          </w:p>
          <w:p w14:paraId="70B65CB2" w14:textId="5966ACAC" w:rsidR="00677370" w:rsidRPr="00F230C1" w:rsidRDefault="0009549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C66FB6">
              <w:rPr>
                <w:rStyle w:val="eop"/>
                <w:rFonts w:ascii="Calibri" w:eastAsiaTheme="majorEastAsia" w:hAnsi="Calibri" w:cs="Calibri"/>
              </w:rPr>
              <w:t>Do you concur with the DSB’s proposal</w:t>
            </w:r>
            <w:r>
              <w:rPr>
                <w:rStyle w:val="eop"/>
                <w:rFonts w:ascii="Calibri" w:eastAsiaTheme="majorEastAsia" w:hAnsi="Calibri" w:cs="Calibri"/>
              </w:rPr>
              <w:t xml:space="preserve"> to on-board a part-time CISO with a full-time security engineer?</w:t>
            </w:r>
          </w:p>
        </w:tc>
        <w:tc>
          <w:tcPr>
            <w:tcW w:w="4394" w:type="dxa"/>
            <w:shd w:val="clear" w:color="auto" w:fill="auto"/>
            <w:vAlign w:val="center"/>
          </w:tcPr>
          <w:p w14:paraId="1F0F1D97"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6327D9C7"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4359B2A9" w14:textId="66D84CFC" w:rsidR="00677370" w:rsidRPr="00DA7FD4" w:rsidRDefault="000E5A91" w:rsidP="00DA7FD4">
            <w:pPr>
              <w:spacing w:before="60" w:after="60" w:line="276" w:lineRule="auto"/>
              <w:rPr>
                <w:rFonts w:asciiTheme="majorHAnsi" w:eastAsiaTheme="majorEastAsia" w:hAnsiTheme="majorHAnsi" w:cstheme="majorBidi"/>
                <w:color w:val="0070C0"/>
              </w:rPr>
            </w:pPr>
            <w:r w:rsidRPr="00DA7FD4">
              <w:rPr>
                <w:rFonts w:asciiTheme="majorHAnsi" w:eastAsiaTheme="majorEastAsia" w:hAnsiTheme="majorHAnsi" w:cstheme="majorBidi"/>
                <w:color w:val="0070C0"/>
              </w:rPr>
              <w:t>FEES AND USER AGREEMENT</w:t>
            </w:r>
          </w:p>
        </w:tc>
      </w:tr>
      <w:tr w:rsidR="00677370" w:rsidRPr="00F230C1" w14:paraId="57E9285F" w14:textId="77777777" w:rsidTr="00D52BA4">
        <w:trPr>
          <w:trHeight w:val="3645"/>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506C808" w14:textId="15EFA289"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26</w:t>
            </w:r>
          </w:p>
        </w:tc>
        <w:tc>
          <w:tcPr>
            <w:tcW w:w="4536" w:type="dxa"/>
            <w:shd w:val="clear" w:color="auto" w:fill="auto"/>
          </w:tcPr>
          <w:p w14:paraId="3C31003A" w14:textId="77777777" w:rsidR="00D52BA4" w:rsidRDefault="00D52BA4" w:rsidP="00D52BA4">
            <w:pPr>
              <w:spacing w:after="120" w:line="276" w:lineRule="auto"/>
              <w:cnfStyle w:val="000000000000" w:firstRow="0" w:lastRow="0" w:firstColumn="0" w:lastColumn="0" w:oddVBand="0" w:evenVBand="0" w:oddHBand="0" w:evenHBand="0" w:firstRowFirstColumn="0" w:firstRowLastColumn="0" w:lastRowFirstColumn="0" w:lastRowLastColumn="0"/>
            </w:pPr>
          </w:p>
          <w:p w14:paraId="784522C6" w14:textId="6A904842" w:rsidR="000E5F51" w:rsidRDefault="000E5F51" w:rsidP="00D52BA4">
            <w:pPr>
              <w:spacing w:after="120" w:line="276" w:lineRule="auto"/>
              <w:cnfStyle w:val="000000000000" w:firstRow="0" w:lastRow="0" w:firstColumn="0" w:lastColumn="0" w:oddVBand="0" w:evenVBand="0" w:oddHBand="0" w:evenHBand="0" w:firstRowFirstColumn="0" w:firstRowLastColumn="0" w:lastRowFirstColumn="0" w:lastRowLastColumn="0"/>
            </w:pPr>
            <w:r>
              <w:t>The current timeline for determination of annual fees is the first working day of December (DSB Charges Policy – paragraph 2.4</w:t>
            </w:r>
            <w:r>
              <w:rPr>
                <w:rStyle w:val="FootnoteReference"/>
              </w:rPr>
              <w:footnoteReference w:id="25"/>
            </w:r>
            <w:r>
              <w:t xml:space="preserve">). Communication of the fees is published two days following the fee determination i.e. within the first week of December. </w:t>
            </w:r>
          </w:p>
          <w:p w14:paraId="0F53FB7F" w14:textId="77777777" w:rsidR="000E5F51" w:rsidRDefault="000E5F51" w:rsidP="00D52BA4">
            <w:pPr>
              <w:spacing w:after="120" w:line="276" w:lineRule="auto"/>
              <w:cnfStyle w:val="000000000000" w:firstRow="0" w:lastRow="0" w:firstColumn="0" w:lastColumn="0" w:oddVBand="0" w:evenVBand="0" w:oddHBand="0" w:evenHBand="0" w:firstRowFirstColumn="0" w:firstRowLastColumn="0" w:lastRowFirstColumn="0" w:lastRowLastColumn="0"/>
            </w:pPr>
            <w:r>
              <w:t>W</w:t>
            </w:r>
            <w:r w:rsidRPr="0030411F">
              <w:t xml:space="preserve">hen do you need the </w:t>
            </w:r>
            <w:r>
              <w:t xml:space="preserve">annual </w:t>
            </w:r>
            <w:r w:rsidRPr="0030411F">
              <w:t>fees for the following year to be communicated?</w:t>
            </w:r>
          </w:p>
          <w:p w14:paraId="5034B87E" w14:textId="036C369C" w:rsidR="00D52BA4" w:rsidRPr="00D52BA4" w:rsidRDefault="00D52BA4" w:rsidP="00D52BA4">
            <w:pPr>
              <w:tabs>
                <w:tab w:val="left" w:pos="3630"/>
              </w:tabs>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c>
          <w:tcPr>
            <w:tcW w:w="4394" w:type="dxa"/>
            <w:shd w:val="clear" w:color="auto" w:fill="auto"/>
            <w:vAlign w:val="center"/>
          </w:tcPr>
          <w:tbl>
            <w:tblPr>
              <w:tblStyle w:val="TableGrid"/>
              <w:tblpPr w:leftFromText="180" w:rightFromText="180" w:vertAnchor="text" w:horzAnchor="margin" w:tblpY="-485"/>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237"/>
              <w:gridCol w:w="1931"/>
            </w:tblGrid>
            <w:tr w:rsidR="00D52BA4" w14:paraId="232B29F9" w14:textId="79669EBD" w:rsidTr="00D52BA4">
              <w:tc>
                <w:tcPr>
                  <w:tcW w:w="2237" w:type="dxa"/>
                  <w:vAlign w:val="center"/>
                </w:tcPr>
                <w:p w14:paraId="4116CFB5"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July</w:t>
                  </w:r>
                </w:p>
              </w:tc>
              <w:tc>
                <w:tcPr>
                  <w:tcW w:w="1931" w:type="dxa"/>
                </w:tcPr>
                <w:p w14:paraId="70E4A1DB" w14:textId="77777777" w:rsidR="00D52BA4" w:rsidRDefault="00D52BA4" w:rsidP="00D52BA4">
                  <w:pPr>
                    <w:spacing w:before="120" w:line="276" w:lineRule="auto"/>
                  </w:pPr>
                </w:p>
              </w:tc>
            </w:tr>
            <w:tr w:rsidR="00D52BA4" w14:paraId="7C6E4E0A" w14:textId="0E224FAA" w:rsidTr="00D52BA4">
              <w:tc>
                <w:tcPr>
                  <w:tcW w:w="2237" w:type="dxa"/>
                  <w:vAlign w:val="center"/>
                </w:tcPr>
                <w:p w14:paraId="49F5F96B"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August</w:t>
                  </w:r>
                </w:p>
              </w:tc>
              <w:tc>
                <w:tcPr>
                  <w:tcW w:w="1931" w:type="dxa"/>
                </w:tcPr>
                <w:p w14:paraId="5556DF09" w14:textId="77777777" w:rsidR="00D52BA4" w:rsidRDefault="00D52BA4" w:rsidP="00D52BA4">
                  <w:pPr>
                    <w:spacing w:before="120" w:line="276" w:lineRule="auto"/>
                  </w:pPr>
                </w:p>
              </w:tc>
            </w:tr>
            <w:tr w:rsidR="00D52BA4" w14:paraId="6C876CF3" w14:textId="00B7318B" w:rsidTr="00D52BA4">
              <w:tc>
                <w:tcPr>
                  <w:tcW w:w="2237" w:type="dxa"/>
                  <w:vAlign w:val="center"/>
                </w:tcPr>
                <w:p w14:paraId="2EB4E379"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September</w:t>
                  </w:r>
                </w:p>
              </w:tc>
              <w:tc>
                <w:tcPr>
                  <w:tcW w:w="1931" w:type="dxa"/>
                </w:tcPr>
                <w:p w14:paraId="0EF449BC" w14:textId="77777777" w:rsidR="00D52BA4" w:rsidRDefault="00D52BA4" w:rsidP="00D52BA4">
                  <w:pPr>
                    <w:spacing w:before="120" w:line="276" w:lineRule="auto"/>
                  </w:pPr>
                </w:p>
              </w:tc>
            </w:tr>
            <w:tr w:rsidR="00D52BA4" w14:paraId="14AE0794" w14:textId="4CBD7987" w:rsidTr="00D52BA4">
              <w:tc>
                <w:tcPr>
                  <w:tcW w:w="2237" w:type="dxa"/>
                  <w:vAlign w:val="center"/>
                </w:tcPr>
                <w:p w14:paraId="226B97DF"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October</w:t>
                  </w:r>
                </w:p>
              </w:tc>
              <w:tc>
                <w:tcPr>
                  <w:tcW w:w="1931" w:type="dxa"/>
                </w:tcPr>
                <w:p w14:paraId="1BEC1948" w14:textId="77777777" w:rsidR="00D52BA4" w:rsidRDefault="00D52BA4" w:rsidP="00D52BA4">
                  <w:pPr>
                    <w:spacing w:before="120" w:line="276" w:lineRule="auto"/>
                  </w:pPr>
                </w:p>
              </w:tc>
            </w:tr>
            <w:tr w:rsidR="00D52BA4" w14:paraId="14977C77" w14:textId="4B92AA3C" w:rsidTr="00D52BA4">
              <w:tc>
                <w:tcPr>
                  <w:tcW w:w="2237" w:type="dxa"/>
                  <w:vAlign w:val="center"/>
                </w:tcPr>
                <w:p w14:paraId="736569C4"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November</w:t>
                  </w:r>
                </w:p>
              </w:tc>
              <w:tc>
                <w:tcPr>
                  <w:tcW w:w="1931" w:type="dxa"/>
                </w:tcPr>
                <w:p w14:paraId="549999C9" w14:textId="77777777" w:rsidR="00D52BA4" w:rsidRDefault="00D52BA4" w:rsidP="00D52BA4">
                  <w:pPr>
                    <w:spacing w:before="120" w:line="276" w:lineRule="auto"/>
                  </w:pPr>
                </w:p>
              </w:tc>
            </w:tr>
            <w:tr w:rsidR="00D52BA4" w14:paraId="05FF51FF" w14:textId="23AD93A1" w:rsidTr="00D52BA4">
              <w:tc>
                <w:tcPr>
                  <w:tcW w:w="2237" w:type="dxa"/>
                  <w:vAlign w:val="center"/>
                </w:tcPr>
                <w:p w14:paraId="128EA93D"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December (unchanged)</w:t>
                  </w:r>
                </w:p>
              </w:tc>
              <w:tc>
                <w:tcPr>
                  <w:tcW w:w="1931" w:type="dxa"/>
                </w:tcPr>
                <w:p w14:paraId="550558A2" w14:textId="77777777" w:rsidR="00D52BA4" w:rsidRDefault="00D52BA4" w:rsidP="00D52BA4">
                  <w:pPr>
                    <w:spacing w:before="120" w:line="276" w:lineRule="auto"/>
                  </w:pPr>
                </w:p>
              </w:tc>
            </w:tr>
            <w:tr w:rsidR="00D52BA4" w14:paraId="2C0062B2" w14:textId="49263430" w:rsidTr="00D52BA4">
              <w:tc>
                <w:tcPr>
                  <w:tcW w:w="2237" w:type="dxa"/>
                  <w:vAlign w:val="center"/>
                </w:tcPr>
                <w:p w14:paraId="2EF94608"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 opinion</w:t>
                  </w:r>
                </w:p>
              </w:tc>
              <w:tc>
                <w:tcPr>
                  <w:tcW w:w="1931" w:type="dxa"/>
                </w:tcPr>
                <w:p w14:paraId="59AD0082" w14:textId="77777777" w:rsidR="00D52BA4" w:rsidRDefault="00D52BA4" w:rsidP="00D52BA4">
                  <w:pPr>
                    <w:spacing w:before="120" w:line="276" w:lineRule="auto"/>
                  </w:pPr>
                </w:p>
              </w:tc>
            </w:tr>
          </w:tbl>
          <w:p w14:paraId="11968E98"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791C669E" w14:textId="77777777" w:rsidTr="00D52BA4">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6BEA579" w14:textId="04E521CE"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27</w:t>
            </w:r>
          </w:p>
        </w:tc>
        <w:tc>
          <w:tcPr>
            <w:tcW w:w="4536" w:type="dxa"/>
            <w:shd w:val="clear" w:color="auto" w:fill="auto"/>
          </w:tcPr>
          <w:p w14:paraId="3255688B" w14:textId="7BB46902" w:rsidR="005A2D47" w:rsidRDefault="005A2D47">
            <w:pPr>
              <w:spacing w:before="240" w:after="120" w:line="276" w:lineRule="auto"/>
              <w:cnfStyle w:val="000000100000" w:firstRow="0" w:lastRow="0" w:firstColumn="0" w:lastColumn="0" w:oddVBand="0" w:evenVBand="0" w:oddHBand="1" w:evenHBand="0" w:firstRowFirstColumn="0" w:firstRowLastColumn="0" w:lastRowFirstColumn="0" w:lastRowLastColumn="0"/>
            </w:pPr>
            <w:r w:rsidRPr="0030411F">
              <w:t xml:space="preserve">The current cost recovery model results in DSB fees being set in way that incorporates adjustments related to the following </w:t>
            </w:r>
            <w:proofErr w:type="spellStart"/>
            <w:r w:rsidRPr="0030411F">
              <w:t>year's service</w:t>
            </w:r>
            <w:proofErr w:type="spellEnd"/>
            <w:r w:rsidRPr="0030411F">
              <w:t xml:space="preserve"> provision, based on industry consultation feedback and input from both industry committees. </w:t>
            </w:r>
          </w:p>
          <w:p w14:paraId="123640AD" w14:textId="77777777" w:rsidR="00D52BA4" w:rsidRDefault="00D52BA4" w:rsidP="00D52BA4">
            <w:pPr>
              <w:spacing w:after="120" w:line="276" w:lineRule="auto"/>
              <w:cnfStyle w:val="000000100000" w:firstRow="0" w:lastRow="0" w:firstColumn="0" w:lastColumn="0" w:oddVBand="0" w:evenVBand="0" w:oddHBand="1" w:evenHBand="0" w:firstRowFirstColumn="0" w:firstRowLastColumn="0" w:lastRowFirstColumn="0" w:lastRowLastColumn="0"/>
            </w:pPr>
            <w:r w:rsidRPr="0030411F">
              <w:t>By bringing the fee determination period forward, the DSB may need to allow for some level of build &amp; run related uplift</w:t>
            </w:r>
            <w:r>
              <w:t xml:space="preserve">. This is because the outcome of industry consultation may not be known at the time of fee determination if the timeline is brought forward. </w:t>
            </w:r>
          </w:p>
          <w:p w14:paraId="532D76E0" w14:textId="4E2F7C85" w:rsidR="00D52BA4" w:rsidRDefault="00D52BA4" w:rsidP="00D52BA4">
            <w:pPr>
              <w:spacing w:line="276" w:lineRule="auto"/>
              <w:cnfStyle w:val="000000100000" w:firstRow="0" w:lastRow="0" w:firstColumn="0" w:lastColumn="0" w:oddVBand="0" w:evenVBand="0" w:oddHBand="1" w:evenHBand="0" w:firstRowFirstColumn="0" w:firstRowLastColumn="0" w:lastRowFirstColumn="0" w:lastRowLastColumn="0"/>
            </w:pPr>
            <w:r w:rsidRPr="0030411F">
              <w:t>What level of cost adjustment should be accommodated?</w:t>
            </w:r>
          </w:p>
          <w:p w14:paraId="1FEAA26D" w14:textId="34642C48" w:rsidR="00956B60" w:rsidRPr="00DA7FD4" w:rsidRDefault="00956B60" w:rsidP="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sz w:val="4"/>
                <w:szCs w:val="4"/>
              </w:rPr>
            </w:pPr>
          </w:p>
          <w:p w14:paraId="7ADEC814" w14:textId="168C11C3" w:rsidR="00956B60" w:rsidRPr="00F230C1" w:rsidRDefault="00956B6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c>
          <w:tcPr>
            <w:tcW w:w="4394" w:type="dxa"/>
            <w:shd w:val="clear" w:color="auto" w:fill="auto"/>
            <w:vAlign w:val="center"/>
          </w:tcPr>
          <w:tbl>
            <w:tblPr>
              <w:tblStyle w:val="TableGrid"/>
              <w:tblpPr w:leftFromText="180" w:rightFromText="180" w:vertAnchor="text" w:horzAnchor="margin" w:tblpY="-2445"/>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010"/>
              <w:gridCol w:w="2010"/>
            </w:tblGrid>
            <w:tr w:rsidR="00D52BA4" w14:paraId="73A07575" w14:textId="77777777" w:rsidTr="00D52BA4">
              <w:tc>
                <w:tcPr>
                  <w:tcW w:w="2010" w:type="dxa"/>
                  <w:vAlign w:val="center"/>
                </w:tcPr>
                <w:p w14:paraId="3D155837"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rsidRPr="0030411F">
                    <w:t>0-4%</w:t>
                  </w:r>
                </w:p>
              </w:tc>
              <w:tc>
                <w:tcPr>
                  <w:tcW w:w="2010" w:type="dxa"/>
                </w:tcPr>
                <w:p w14:paraId="76E6142A" w14:textId="77777777" w:rsidR="00D52BA4" w:rsidRPr="0030411F" w:rsidRDefault="00D52BA4" w:rsidP="00D52BA4">
                  <w:pPr>
                    <w:spacing w:before="120" w:line="276" w:lineRule="auto"/>
                  </w:pPr>
                </w:p>
              </w:tc>
            </w:tr>
            <w:tr w:rsidR="00D52BA4" w14:paraId="5638627D" w14:textId="77777777" w:rsidTr="00D52BA4">
              <w:tc>
                <w:tcPr>
                  <w:tcW w:w="2010" w:type="dxa"/>
                  <w:vAlign w:val="center"/>
                </w:tcPr>
                <w:p w14:paraId="6DC7006A"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rsidRPr="0030411F">
                    <w:t>4-8%,</w:t>
                  </w:r>
                </w:p>
              </w:tc>
              <w:tc>
                <w:tcPr>
                  <w:tcW w:w="2010" w:type="dxa"/>
                </w:tcPr>
                <w:p w14:paraId="0667C68A" w14:textId="77777777" w:rsidR="00D52BA4" w:rsidRPr="0030411F" w:rsidRDefault="00D52BA4" w:rsidP="00D52BA4">
                  <w:pPr>
                    <w:spacing w:before="120" w:line="276" w:lineRule="auto"/>
                  </w:pPr>
                </w:p>
              </w:tc>
            </w:tr>
            <w:tr w:rsidR="00D52BA4" w14:paraId="302B9CBF" w14:textId="77777777" w:rsidTr="00D52BA4">
              <w:tc>
                <w:tcPr>
                  <w:tcW w:w="2010" w:type="dxa"/>
                  <w:vAlign w:val="center"/>
                </w:tcPr>
                <w:p w14:paraId="4C2744C1"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rsidRPr="0030411F">
                    <w:t>8-12%,</w:t>
                  </w:r>
                </w:p>
              </w:tc>
              <w:tc>
                <w:tcPr>
                  <w:tcW w:w="2010" w:type="dxa"/>
                </w:tcPr>
                <w:p w14:paraId="198576CF" w14:textId="77777777" w:rsidR="00D52BA4" w:rsidRPr="0030411F" w:rsidRDefault="00D52BA4" w:rsidP="00D52BA4">
                  <w:pPr>
                    <w:spacing w:before="120" w:line="276" w:lineRule="auto"/>
                  </w:pPr>
                </w:p>
              </w:tc>
            </w:tr>
            <w:tr w:rsidR="00D52BA4" w14:paraId="2C7AB568" w14:textId="77777777" w:rsidTr="00D52BA4">
              <w:tc>
                <w:tcPr>
                  <w:tcW w:w="2010" w:type="dxa"/>
                  <w:vAlign w:val="center"/>
                </w:tcPr>
                <w:p w14:paraId="1429120C"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rsidRPr="0030411F">
                    <w:t>No opinion</w:t>
                  </w:r>
                </w:p>
              </w:tc>
              <w:tc>
                <w:tcPr>
                  <w:tcW w:w="2010" w:type="dxa"/>
                </w:tcPr>
                <w:p w14:paraId="06A614DA" w14:textId="77777777" w:rsidR="00D52BA4" w:rsidRPr="0030411F" w:rsidRDefault="00D52BA4" w:rsidP="00D52BA4">
                  <w:pPr>
                    <w:spacing w:before="120" w:line="276" w:lineRule="auto"/>
                  </w:pPr>
                </w:p>
              </w:tc>
            </w:tr>
          </w:tbl>
          <w:p w14:paraId="4FAE9F26"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28CEF044" w14:textId="77777777" w:rsidTr="00D52BA4">
        <w:trPr>
          <w:trHeight w:val="192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199B83A" w14:textId="7C1CA107"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lastRenderedPageBreak/>
              <w:t>28</w:t>
            </w:r>
          </w:p>
        </w:tc>
        <w:tc>
          <w:tcPr>
            <w:tcW w:w="4536" w:type="dxa"/>
            <w:shd w:val="clear" w:color="auto" w:fill="auto"/>
          </w:tcPr>
          <w:p w14:paraId="37564AC6" w14:textId="77777777" w:rsidR="00D52BA4" w:rsidRDefault="00D52BA4" w:rsidP="00AD6F92">
            <w:pPr>
              <w:spacing w:line="276" w:lineRule="auto"/>
              <w:cnfStyle w:val="000000000000" w:firstRow="0" w:lastRow="0" w:firstColumn="0" w:lastColumn="0" w:oddVBand="0" w:evenVBand="0" w:oddHBand="0" w:evenHBand="0" w:firstRowFirstColumn="0" w:firstRowLastColumn="0" w:lastRowFirstColumn="0" w:lastRowLastColumn="0"/>
            </w:pPr>
          </w:p>
          <w:p w14:paraId="00E1A160" w14:textId="0223ED61" w:rsidR="00AD6F92" w:rsidRDefault="00AD6F92" w:rsidP="00AD6F92">
            <w:pPr>
              <w:spacing w:line="276" w:lineRule="auto"/>
              <w:cnfStyle w:val="000000000000" w:firstRow="0" w:lastRow="0" w:firstColumn="0" w:lastColumn="0" w:oddVBand="0" w:evenVBand="0" w:oddHBand="0" w:evenHBand="0" w:firstRowFirstColumn="0" w:firstRowLastColumn="0" w:lastRowFirstColumn="0" w:lastRowLastColumn="0"/>
            </w:pPr>
            <w:r w:rsidRPr="0030411F">
              <w:t xml:space="preserve">Industry consensus in 2018 resulted in the DSB making no changes to the way in which user fees were determined for 2019. </w:t>
            </w:r>
          </w:p>
          <w:p w14:paraId="0A62B999" w14:textId="77777777" w:rsidR="00677370" w:rsidRDefault="00AD6F92" w:rsidP="00AD6F92">
            <w:pPr>
              <w:spacing w:before="120" w:line="276" w:lineRule="auto"/>
              <w:cnfStyle w:val="000000000000" w:firstRow="0" w:lastRow="0" w:firstColumn="0" w:lastColumn="0" w:oddVBand="0" w:evenVBand="0" w:oddHBand="0" w:evenHBand="0" w:firstRowFirstColumn="0" w:firstRowLastColumn="0" w:lastRowFirstColumn="0" w:lastRowLastColumn="0"/>
            </w:pPr>
            <w:r w:rsidRPr="0030411F">
              <w:t>Do you believe this should remain the case?</w:t>
            </w:r>
          </w:p>
          <w:p w14:paraId="7E835E9C" w14:textId="77777777" w:rsidR="00AD6F92" w:rsidRPr="00DA7FD4" w:rsidRDefault="00AD6F92" w:rsidP="00AD6F92">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sz w:val="4"/>
                <w:szCs w:val="4"/>
              </w:rPr>
            </w:pPr>
          </w:p>
          <w:p w14:paraId="113D7A97" w14:textId="70476890" w:rsidR="00F42F2C" w:rsidRPr="00F230C1" w:rsidRDefault="00F42F2C">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c>
          <w:tcPr>
            <w:tcW w:w="4394" w:type="dxa"/>
            <w:shd w:val="clear" w:color="auto" w:fill="auto"/>
            <w:vAlign w:val="center"/>
          </w:tcPr>
          <w:tbl>
            <w:tblPr>
              <w:tblStyle w:val="TableGrid"/>
              <w:tblpPr w:leftFromText="180" w:rightFromText="180" w:vertAnchor="text" w:horzAnchor="margin" w:tblpY="-1311"/>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010"/>
              <w:gridCol w:w="2010"/>
            </w:tblGrid>
            <w:tr w:rsidR="00D52BA4" w14:paraId="3733C692" w14:textId="77777777" w:rsidTr="00D52BA4">
              <w:tc>
                <w:tcPr>
                  <w:tcW w:w="2010" w:type="dxa"/>
                  <w:vAlign w:val="center"/>
                </w:tcPr>
                <w:p w14:paraId="089BF257"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Yes</w:t>
                  </w:r>
                </w:p>
              </w:tc>
              <w:tc>
                <w:tcPr>
                  <w:tcW w:w="2010" w:type="dxa"/>
                </w:tcPr>
                <w:p w14:paraId="61ACA49B" w14:textId="77777777" w:rsidR="00D52BA4" w:rsidRDefault="00D52BA4" w:rsidP="00D52BA4">
                  <w:pPr>
                    <w:spacing w:before="120" w:line="276" w:lineRule="auto"/>
                  </w:pPr>
                </w:p>
              </w:tc>
            </w:tr>
            <w:tr w:rsidR="00D52BA4" w14:paraId="5FE666AA" w14:textId="77777777" w:rsidTr="00D52BA4">
              <w:tc>
                <w:tcPr>
                  <w:tcW w:w="2010" w:type="dxa"/>
                  <w:vAlign w:val="center"/>
                </w:tcPr>
                <w:p w14:paraId="585596F8"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w:t>
                  </w:r>
                </w:p>
              </w:tc>
              <w:tc>
                <w:tcPr>
                  <w:tcW w:w="2010" w:type="dxa"/>
                </w:tcPr>
                <w:p w14:paraId="668D9051" w14:textId="77777777" w:rsidR="00D52BA4" w:rsidRDefault="00D52BA4" w:rsidP="00D52BA4">
                  <w:pPr>
                    <w:spacing w:before="120" w:line="276" w:lineRule="auto"/>
                  </w:pPr>
                </w:p>
              </w:tc>
            </w:tr>
            <w:tr w:rsidR="00D52BA4" w14:paraId="5F2412AA" w14:textId="77777777" w:rsidTr="00D52BA4">
              <w:tc>
                <w:tcPr>
                  <w:tcW w:w="2010" w:type="dxa"/>
                  <w:vAlign w:val="center"/>
                </w:tcPr>
                <w:p w14:paraId="24FD6F89"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 opinion</w:t>
                  </w:r>
                </w:p>
              </w:tc>
              <w:tc>
                <w:tcPr>
                  <w:tcW w:w="2010" w:type="dxa"/>
                </w:tcPr>
                <w:p w14:paraId="29ACA433" w14:textId="77777777" w:rsidR="00D52BA4" w:rsidRDefault="00D52BA4" w:rsidP="00D52BA4">
                  <w:pPr>
                    <w:spacing w:before="120" w:line="276" w:lineRule="auto"/>
                  </w:pPr>
                </w:p>
              </w:tc>
            </w:tr>
          </w:tbl>
          <w:p w14:paraId="7E94AD72"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3B258203" w14:textId="77777777" w:rsidTr="00D52BA4">
        <w:trPr>
          <w:cnfStyle w:val="000000100000" w:firstRow="0" w:lastRow="0" w:firstColumn="0" w:lastColumn="0" w:oddVBand="0" w:evenVBand="0" w:oddHBand="1" w:evenHBand="0" w:firstRowFirstColumn="0" w:firstRowLastColumn="0" w:lastRowFirstColumn="0" w:lastRowLastColumn="0"/>
          <w:trHeight w:val="6237"/>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5E4324D" w14:textId="1E3AF4E6"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29</w:t>
            </w:r>
          </w:p>
        </w:tc>
        <w:tc>
          <w:tcPr>
            <w:tcW w:w="4536" w:type="dxa"/>
            <w:shd w:val="clear" w:color="auto" w:fill="auto"/>
          </w:tcPr>
          <w:p w14:paraId="0655F112" w14:textId="77777777" w:rsidR="00A161F8"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t>The current fee model is designed to ensure that all users of the service, irrespective of size or whether a multi-faceted organisation, can reasonably access the services under fair and equitable terms.  Based on this model, the applicable annual fee is applied to each user who executes the DSB Access and Usage Agreement regardless if they have an existing agreement/s in place.  Please note, any amendment to the fee model including discounted fees for those users with multiple agreements means the revenue reduction will need to be recovered by the user base to ensure cost recovery of the service.</w:t>
            </w:r>
          </w:p>
          <w:p w14:paraId="2A0DFF28" w14:textId="77777777" w:rsidR="00A161F8" w:rsidRDefault="00A161F8" w:rsidP="00A161F8">
            <w:pPr>
              <w:spacing w:after="120" w:line="276" w:lineRule="auto"/>
              <w:cnfStyle w:val="000000100000" w:firstRow="0" w:lastRow="0" w:firstColumn="0" w:lastColumn="0" w:oddVBand="0" w:evenVBand="0" w:oddHBand="1" w:evenHBand="0" w:firstRowFirstColumn="0" w:firstRowLastColumn="0" w:lastRowFirstColumn="0" w:lastRowLastColumn="0"/>
            </w:pPr>
            <w:r w:rsidRPr="0030411F">
              <w:t xml:space="preserve">Do you believe a fee discount should be made available for entities requesting multiple or group wide agreements?  </w:t>
            </w:r>
          </w:p>
          <w:p w14:paraId="20E4DB9B" w14:textId="654B08E8" w:rsidR="00677370" w:rsidRDefault="00A161F8" w:rsidP="00A161F8">
            <w:pPr>
              <w:spacing w:before="120" w:line="276" w:lineRule="auto"/>
              <w:cnfStyle w:val="000000100000" w:firstRow="0" w:lastRow="0" w:firstColumn="0" w:lastColumn="0" w:oddVBand="0" w:evenVBand="0" w:oddHBand="1" w:evenHBand="0" w:firstRowFirstColumn="0" w:firstRowLastColumn="0" w:lastRowFirstColumn="0" w:lastRowLastColumn="0"/>
            </w:pPr>
            <w:r w:rsidRPr="0030411F">
              <w:t>If yes, above, what level of discount should be applicable?</w:t>
            </w:r>
          </w:p>
          <w:p w14:paraId="7A71A070" w14:textId="77777777" w:rsidR="00A161F8" w:rsidRPr="00DA7FD4" w:rsidRDefault="00A161F8" w:rsidP="00A161F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sz w:val="4"/>
                <w:szCs w:val="4"/>
              </w:rPr>
            </w:pPr>
          </w:p>
          <w:p w14:paraId="3E6A8665" w14:textId="06C97A9D" w:rsidR="00A161F8" w:rsidRPr="00F230C1" w:rsidRDefault="00A161F8">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c>
          <w:tcPr>
            <w:tcW w:w="4394" w:type="dxa"/>
            <w:shd w:val="clear" w:color="auto" w:fill="auto"/>
            <w:vAlign w:val="center"/>
          </w:tcPr>
          <w:tbl>
            <w:tblPr>
              <w:tblStyle w:val="TableGrid"/>
              <w:tblpPr w:leftFromText="180" w:rightFromText="180" w:vertAnchor="text" w:horzAnchor="margin" w:tblpY="-806"/>
              <w:tblOverlap w:val="never"/>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010"/>
              <w:gridCol w:w="2010"/>
            </w:tblGrid>
            <w:tr w:rsidR="00D52BA4" w14:paraId="6AA5A883" w14:textId="77777777" w:rsidTr="00D52BA4">
              <w:tc>
                <w:tcPr>
                  <w:tcW w:w="2010" w:type="dxa"/>
                  <w:vAlign w:val="center"/>
                </w:tcPr>
                <w:p w14:paraId="18402B8A"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w:t>
                  </w:r>
                </w:p>
              </w:tc>
              <w:tc>
                <w:tcPr>
                  <w:tcW w:w="2010" w:type="dxa"/>
                </w:tcPr>
                <w:p w14:paraId="70D3064D" w14:textId="77777777" w:rsidR="00D52BA4" w:rsidRDefault="00D52BA4" w:rsidP="00D52BA4">
                  <w:pPr>
                    <w:spacing w:before="120" w:line="276" w:lineRule="auto"/>
                  </w:pPr>
                </w:p>
              </w:tc>
            </w:tr>
            <w:tr w:rsidR="00D52BA4" w14:paraId="77A35607" w14:textId="77777777" w:rsidTr="00D52BA4">
              <w:tc>
                <w:tcPr>
                  <w:tcW w:w="2010" w:type="dxa"/>
                  <w:vAlign w:val="center"/>
                </w:tcPr>
                <w:p w14:paraId="703EA332"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Yes, 15%</w:t>
                  </w:r>
                </w:p>
              </w:tc>
              <w:tc>
                <w:tcPr>
                  <w:tcW w:w="2010" w:type="dxa"/>
                </w:tcPr>
                <w:p w14:paraId="2E07ADCD" w14:textId="77777777" w:rsidR="00D52BA4" w:rsidRDefault="00D52BA4" w:rsidP="00D52BA4">
                  <w:pPr>
                    <w:spacing w:before="120" w:line="276" w:lineRule="auto"/>
                  </w:pPr>
                </w:p>
              </w:tc>
            </w:tr>
            <w:tr w:rsidR="00D52BA4" w14:paraId="62819A51" w14:textId="77777777" w:rsidTr="00D52BA4">
              <w:tc>
                <w:tcPr>
                  <w:tcW w:w="2010" w:type="dxa"/>
                  <w:vAlign w:val="center"/>
                </w:tcPr>
                <w:p w14:paraId="50285276"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Yes, 20%</w:t>
                  </w:r>
                </w:p>
              </w:tc>
              <w:tc>
                <w:tcPr>
                  <w:tcW w:w="2010" w:type="dxa"/>
                </w:tcPr>
                <w:p w14:paraId="35F065E4" w14:textId="77777777" w:rsidR="00D52BA4" w:rsidRDefault="00D52BA4" w:rsidP="00D52BA4">
                  <w:pPr>
                    <w:spacing w:before="120" w:line="276" w:lineRule="auto"/>
                  </w:pPr>
                </w:p>
              </w:tc>
            </w:tr>
            <w:tr w:rsidR="00D52BA4" w14:paraId="24C605EF" w14:textId="77777777" w:rsidTr="00D52BA4">
              <w:tc>
                <w:tcPr>
                  <w:tcW w:w="2010" w:type="dxa"/>
                  <w:vAlign w:val="center"/>
                </w:tcPr>
                <w:p w14:paraId="210A0200"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Yes, 25%</w:t>
                  </w:r>
                </w:p>
              </w:tc>
              <w:tc>
                <w:tcPr>
                  <w:tcW w:w="2010" w:type="dxa"/>
                </w:tcPr>
                <w:p w14:paraId="17FB750C" w14:textId="77777777" w:rsidR="00D52BA4" w:rsidRDefault="00D52BA4" w:rsidP="00D52BA4">
                  <w:pPr>
                    <w:spacing w:before="120" w:line="276" w:lineRule="auto"/>
                  </w:pPr>
                </w:p>
              </w:tc>
            </w:tr>
            <w:tr w:rsidR="00D52BA4" w14:paraId="5759BD91" w14:textId="77777777" w:rsidTr="00D52BA4">
              <w:tc>
                <w:tcPr>
                  <w:tcW w:w="2010" w:type="dxa"/>
                  <w:vAlign w:val="center"/>
                </w:tcPr>
                <w:p w14:paraId="5BDE5A9E"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Yes, 50%</w:t>
                  </w:r>
                </w:p>
              </w:tc>
              <w:tc>
                <w:tcPr>
                  <w:tcW w:w="2010" w:type="dxa"/>
                </w:tcPr>
                <w:p w14:paraId="7C475376" w14:textId="77777777" w:rsidR="00D52BA4" w:rsidRDefault="00D52BA4" w:rsidP="00D52BA4">
                  <w:pPr>
                    <w:spacing w:before="120" w:line="276" w:lineRule="auto"/>
                  </w:pPr>
                </w:p>
              </w:tc>
            </w:tr>
            <w:tr w:rsidR="00D52BA4" w14:paraId="4C8807A6" w14:textId="77777777" w:rsidTr="00D52BA4">
              <w:tc>
                <w:tcPr>
                  <w:tcW w:w="2010" w:type="dxa"/>
                  <w:vAlign w:val="center"/>
                </w:tcPr>
                <w:p w14:paraId="28CA4C81"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No opinion</w:t>
                  </w:r>
                </w:p>
              </w:tc>
              <w:tc>
                <w:tcPr>
                  <w:tcW w:w="2010" w:type="dxa"/>
                </w:tcPr>
                <w:p w14:paraId="73E5A8C2" w14:textId="77777777" w:rsidR="00D52BA4" w:rsidRDefault="00D52BA4" w:rsidP="00D52BA4">
                  <w:pPr>
                    <w:spacing w:before="120" w:line="276" w:lineRule="auto"/>
                  </w:pPr>
                </w:p>
              </w:tc>
            </w:tr>
            <w:tr w:rsidR="00D52BA4" w14:paraId="77A68762" w14:textId="77777777" w:rsidTr="00D52BA4">
              <w:tc>
                <w:tcPr>
                  <w:tcW w:w="2010" w:type="dxa"/>
                  <w:vAlign w:val="center"/>
                </w:tcPr>
                <w:p w14:paraId="199A37CF" w14:textId="77777777" w:rsidR="00D52BA4" w:rsidRDefault="00D52BA4" w:rsidP="00D52BA4">
                  <w:pPr>
                    <w:spacing w:before="120" w:line="276" w:lineRule="auto"/>
                    <w:rPr>
                      <w:rFonts w:asciiTheme="majorHAnsi" w:eastAsiaTheme="majorEastAsia" w:hAnsiTheme="majorHAnsi" w:cstheme="majorBidi"/>
                      <w:color w:val="2E74B5" w:themeColor="accent1" w:themeShade="BF"/>
                    </w:rPr>
                  </w:pPr>
                  <w:r>
                    <w:t>Other</w:t>
                  </w:r>
                </w:p>
              </w:tc>
              <w:tc>
                <w:tcPr>
                  <w:tcW w:w="2010" w:type="dxa"/>
                </w:tcPr>
                <w:p w14:paraId="4C5BC522" w14:textId="77777777" w:rsidR="00D52BA4" w:rsidRDefault="00D52BA4" w:rsidP="00D52BA4">
                  <w:pPr>
                    <w:spacing w:before="120" w:line="276" w:lineRule="auto"/>
                  </w:pPr>
                </w:p>
              </w:tc>
            </w:tr>
          </w:tbl>
          <w:p w14:paraId="17B2A30A"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2B7D9245" w14:textId="77777777" w:rsidTr="00DA7FD4">
        <w:trPr>
          <w:trHeight w:val="1125"/>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28F97C97" w14:textId="2FE79B3D"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30</w:t>
            </w:r>
          </w:p>
        </w:tc>
        <w:tc>
          <w:tcPr>
            <w:tcW w:w="4536" w:type="dxa"/>
            <w:shd w:val="clear" w:color="auto" w:fill="auto"/>
            <w:vAlign w:val="center"/>
          </w:tcPr>
          <w:p w14:paraId="062D7BFC" w14:textId="1DF31239" w:rsidR="00677370" w:rsidRPr="00493CC0" w:rsidRDefault="00493CC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DA7FD4">
              <w:t>Please provide any additional user fee related feedback you wish to provide.</w:t>
            </w:r>
          </w:p>
        </w:tc>
        <w:tc>
          <w:tcPr>
            <w:tcW w:w="4394" w:type="dxa"/>
            <w:shd w:val="clear" w:color="auto" w:fill="auto"/>
            <w:vAlign w:val="center"/>
          </w:tcPr>
          <w:p w14:paraId="19FA1ED5" w14:textId="77777777" w:rsidR="00677370" w:rsidRPr="00F230C1" w:rsidRDefault="00677370">
            <w:pPr>
              <w:spacing w:before="120" w:line="276"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5598798A" w14:textId="77777777" w:rsidTr="00DA7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0B612016" w14:textId="2C949FB9"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31</w:t>
            </w:r>
          </w:p>
        </w:tc>
        <w:tc>
          <w:tcPr>
            <w:tcW w:w="4536" w:type="dxa"/>
            <w:shd w:val="clear" w:color="auto" w:fill="auto"/>
            <w:vAlign w:val="center"/>
          </w:tcPr>
          <w:p w14:paraId="058480B8" w14:textId="77777777" w:rsidR="00CF4D21" w:rsidRDefault="00CF4D21">
            <w:pPr>
              <w:spacing w:before="120" w:line="276" w:lineRule="auto"/>
              <w:cnfStyle w:val="000000100000" w:firstRow="0" w:lastRow="0" w:firstColumn="0" w:lastColumn="0" w:oddVBand="0" w:evenVBand="0" w:oddHBand="1" w:evenHBand="0" w:firstRowFirstColumn="0" w:firstRowLastColumn="0" w:lastRowFirstColumn="0" w:lastRowLastColumn="0"/>
              <w:rPr>
                <w:rStyle w:val="eop"/>
                <w:rFonts w:ascii="Calibri" w:eastAsiaTheme="majorEastAsia" w:hAnsi="Calibri" w:cs="Calibri"/>
              </w:rPr>
            </w:pPr>
          </w:p>
          <w:p w14:paraId="73395ACD" w14:textId="7BB5B8EE" w:rsidR="00677370" w:rsidRDefault="00750371">
            <w:pPr>
              <w:spacing w:before="120" w:line="276" w:lineRule="auto"/>
              <w:cnfStyle w:val="000000100000" w:firstRow="0" w:lastRow="0" w:firstColumn="0" w:lastColumn="0" w:oddVBand="0" w:evenVBand="0" w:oddHBand="1" w:evenHBand="0" w:firstRowFirstColumn="0" w:firstRowLastColumn="0" w:lastRowFirstColumn="0" w:lastRowLastColumn="0"/>
              <w:rPr>
                <w:rStyle w:val="eop"/>
                <w:rFonts w:ascii="Calibri" w:eastAsiaTheme="majorEastAsia" w:hAnsi="Calibri" w:cs="Calibri"/>
              </w:rPr>
            </w:pPr>
            <w:r w:rsidRPr="004B758B">
              <w:rPr>
                <w:rStyle w:val="eop"/>
                <w:rFonts w:ascii="Calibri" w:eastAsiaTheme="majorEastAsia" w:hAnsi="Calibri" w:cs="Calibri"/>
              </w:rPr>
              <w:t>Do you concur with the DSB’s proposal</w:t>
            </w:r>
            <w:r>
              <w:rPr>
                <w:rStyle w:val="eop"/>
                <w:rFonts w:ascii="Calibri" w:eastAsiaTheme="majorEastAsia" w:hAnsi="Calibri" w:cs="Calibri"/>
              </w:rPr>
              <w:t xml:space="preserve"> to form the DSB Agreement Forum and present its findings within the annual DSB consultation in 2020</w:t>
            </w:r>
            <w:r w:rsidRPr="004B758B">
              <w:rPr>
                <w:rStyle w:val="eop"/>
                <w:rFonts w:ascii="Calibri" w:eastAsiaTheme="majorEastAsia" w:hAnsi="Calibri" w:cs="Calibri"/>
              </w:rPr>
              <w:t>? If not, what is your specific alternate proposal (if any)?</w:t>
            </w:r>
          </w:p>
          <w:p w14:paraId="28189641" w14:textId="353CA958" w:rsidR="00CF4D21" w:rsidRPr="00F230C1" w:rsidRDefault="00CF4D2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c>
          <w:tcPr>
            <w:tcW w:w="4394" w:type="dxa"/>
            <w:shd w:val="clear" w:color="auto" w:fill="auto"/>
            <w:vAlign w:val="center"/>
          </w:tcPr>
          <w:p w14:paraId="5249002C"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677370" w:rsidRPr="00F230C1" w14:paraId="246E20CD" w14:textId="77777777" w:rsidTr="00DA7FD4">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0CECE" w:themeFill="background2" w:themeFillShade="E6"/>
            <w:vAlign w:val="center"/>
          </w:tcPr>
          <w:p w14:paraId="4D28771B" w14:textId="6BC8249B" w:rsidR="00677370" w:rsidRPr="00DA7FD4" w:rsidRDefault="00677370" w:rsidP="00DA7FD4">
            <w:pPr>
              <w:spacing w:before="60" w:after="60" w:line="276" w:lineRule="auto"/>
              <w:rPr>
                <w:rFonts w:asciiTheme="majorHAnsi" w:eastAsiaTheme="majorEastAsia" w:hAnsiTheme="majorHAnsi" w:cstheme="majorBidi"/>
                <w:color w:val="5B9BD5" w:themeColor="accent1"/>
              </w:rPr>
            </w:pPr>
            <w:r w:rsidRPr="00DA7FD4">
              <w:rPr>
                <w:rFonts w:asciiTheme="majorHAnsi" w:eastAsiaTheme="majorEastAsia" w:hAnsiTheme="majorHAnsi" w:cstheme="majorBidi"/>
                <w:color w:val="0070C0"/>
              </w:rPr>
              <w:lastRenderedPageBreak/>
              <w:t>AOB</w:t>
            </w:r>
          </w:p>
        </w:tc>
      </w:tr>
      <w:tr w:rsidR="00677370" w:rsidRPr="00F230C1" w14:paraId="6E2BC7F7" w14:textId="77777777" w:rsidTr="00B81F55">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57B9001" w14:textId="64B79C70" w:rsidR="00677370" w:rsidRDefault="00677370" w:rsidP="00677370">
            <w:pPr>
              <w:spacing w:before="120" w:line="276" w:lineRule="auto"/>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32</w:t>
            </w:r>
          </w:p>
        </w:tc>
        <w:tc>
          <w:tcPr>
            <w:tcW w:w="0" w:type="dxa"/>
            <w:shd w:val="clear" w:color="auto" w:fill="auto"/>
            <w:vAlign w:val="center"/>
          </w:tcPr>
          <w:p w14:paraId="00504D49" w14:textId="264CFA94" w:rsidR="00677370" w:rsidRPr="00F230C1" w:rsidRDefault="00750371">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DA7FD4">
              <w:rPr>
                <w:rStyle w:val="eop"/>
                <w:rFonts w:ascii="Calibri" w:hAnsi="Calibri" w:cs="Calibri"/>
              </w:rPr>
              <w:t xml:space="preserve">Please </w:t>
            </w:r>
            <w:r w:rsidR="00AF00DF">
              <w:rPr>
                <w:rStyle w:val="eop"/>
                <w:rFonts w:ascii="Calibri" w:hAnsi="Calibri" w:cs="Calibri"/>
              </w:rPr>
              <w:t xml:space="preserve">use this space for </w:t>
            </w:r>
            <w:r w:rsidR="006B499A" w:rsidRPr="00DA7FD4">
              <w:rPr>
                <w:rStyle w:val="eop"/>
                <w:rFonts w:ascii="Calibri" w:hAnsi="Calibri" w:cs="Calibri"/>
              </w:rPr>
              <w:t>any other comments you wish to provide</w:t>
            </w:r>
          </w:p>
        </w:tc>
        <w:tc>
          <w:tcPr>
            <w:tcW w:w="0" w:type="dxa"/>
            <w:shd w:val="clear" w:color="auto" w:fill="auto"/>
            <w:vAlign w:val="center"/>
          </w:tcPr>
          <w:p w14:paraId="23B1919C" w14:textId="77777777" w:rsidR="00677370" w:rsidRPr="00F230C1" w:rsidRDefault="00677370">
            <w:pPr>
              <w:spacing w:before="120" w:line="276"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bl>
    <w:p w14:paraId="314C2281" w14:textId="64DDBAAB" w:rsidR="00A32875" w:rsidRDefault="00A32875" w:rsidP="00D52BA4">
      <w:pPr>
        <w:rPr>
          <w:rFonts w:asciiTheme="majorHAnsi" w:eastAsiaTheme="majorEastAsia" w:hAnsiTheme="majorHAnsi" w:cstheme="majorBidi"/>
          <w:color w:val="2E74B5" w:themeColor="accent1" w:themeShade="BF"/>
          <w:sz w:val="32"/>
          <w:szCs w:val="32"/>
        </w:rPr>
      </w:pPr>
    </w:p>
    <w:sectPr w:rsidR="00A32875" w:rsidSect="00D43A6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989A" w14:textId="77777777" w:rsidR="00593D89" w:rsidRDefault="00593D89" w:rsidP="00910C5D">
      <w:pPr>
        <w:spacing w:after="0" w:line="240" w:lineRule="auto"/>
      </w:pPr>
      <w:r>
        <w:separator/>
      </w:r>
    </w:p>
  </w:endnote>
  <w:endnote w:type="continuationSeparator" w:id="0">
    <w:p w14:paraId="7998342A" w14:textId="77777777" w:rsidR="00593D89" w:rsidRDefault="00593D89" w:rsidP="00910C5D">
      <w:pPr>
        <w:spacing w:after="0" w:line="240" w:lineRule="auto"/>
      </w:pPr>
      <w:r>
        <w:continuationSeparator/>
      </w:r>
    </w:p>
  </w:endnote>
  <w:endnote w:type="continuationNotice" w:id="1">
    <w:p w14:paraId="722A47F9" w14:textId="77777777" w:rsidR="00593D89" w:rsidRDefault="00593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6440" w14:textId="77777777" w:rsidR="00D52BA4" w:rsidRPr="00910C5D" w:rsidRDefault="00D52BA4">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52BA4" w:rsidRPr="001630DD" w14:paraId="0899434D" w14:textId="77777777" w:rsidTr="00D859DA">
      <w:tc>
        <w:tcPr>
          <w:tcW w:w="3005" w:type="dxa"/>
          <w:shd w:val="clear" w:color="auto" w:fill="auto"/>
        </w:tcPr>
        <w:p w14:paraId="4911BB93" w14:textId="2CB701EC" w:rsidR="00D52BA4" w:rsidRPr="001630DD" w:rsidRDefault="00D52BA4" w:rsidP="00B24903">
          <w:pPr>
            <w:pStyle w:val="Footer"/>
            <w:rPr>
              <w:color w:val="000000" w:themeColor="text1"/>
              <w:sz w:val="18"/>
            </w:rPr>
          </w:pPr>
          <w:r w:rsidRPr="001630DD">
            <w:rPr>
              <w:color w:val="000000" w:themeColor="text1"/>
              <w:sz w:val="18"/>
            </w:rPr>
            <w:t>©ANNA DSB 201</w:t>
          </w:r>
          <w:r>
            <w:rPr>
              <w:color w:val="000000" w:themeColor="text1"/>
              <w:sz w:val="18"/>
            </w:rPr>
            <w:t>9</w:t>
          </w:r>
        </w:p>
      </w:tc>
      <w:tc>
        <w:tcPr>
          <w:tcW w:w="3005" w:type="dxa"/>
          <w:shd w:val="clear" w:color="auto" w:fill="auto"/>
        </w:tcPr>
        <w:p w14:paraId="4855C574" w14:textId="49CBD19B" w:rsidR="00D52BA4" w:rsidRPr="001630DD" w:rsidRDefault="00D52BA4" w:rsidP="001630DD">
          <w:pPr>
            <w:pStyle w:val="Footer"/>
            <w:jc w:val="center"/>
            <w:rPr>
              <w:color w:val="000000" w:themeColor="text1"/>
              <w:sz w:val="18"/>
            </w:rPr>
          </w:pPr>
          <w:r>
            <w:rPr>
              <w:color w:val="000000" w:themeColor="text1"/>
              <w:sz w:val="18"/>
            </w:rPr>
            <w:t>Consultation Paper 2 – response deadline is 5pm UTC on 29</w:t>
          </w:r>
          <w:r w:rsidRPr="004918EE">
            <w:rPr>
              <w:color w:val="000000" w:themeColor="text1"/>
              <w:sz w:val="18"/>
              <w:vertAlign w:val="superscript"/>
            </w:rPr>
            <w:t>th</w:t>
          </w:r>
          <w:r>
            <w:rPr>
              <w:color w:val="000000" w:themeColor="text1"/>
              <w:sz w:val="18"/>
            </w:rPr>
            <w:t xml:space="preserve"> July 2019 </w:t>
          </w:r>
        </w:p>
      </w:tc>
      <w:tc>
        <w:tcPr>
          <w:tcW w:w="3006" w:type="dxa"/>
          <w:shd w:val="clear" w:color="auto" w:fill="auto"/>
        </w:tcPr>
        <w:p w14:paraId="1D84BED2" w14:textId="5300D1FE" w:rsidR="00D52BA4" w:rsidRPr="001630DD" w:rsidRDefault="00D52BA4"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sidR="001C11C7">
            <w:rPr>
              <w:noProof/>
              <w:color w:val="000000" w:themeColor="text1"/>
              <w:sz w:val="18"/>
            </w:rPr>
            <w:t>21</w:t>
          </w:r>
          <w:r w:rsidRPr="001630DD">
            <w:rPr>
              <w:noProof/>
              <w:color w:val="000000" w:themeColor="text1"/>
              <w:sz w:val="18"/>
            </w:rPr>
            <w:fldChar w:fldCharType="end"/>
          </w:r>
        </w:p>
      </w:tc>
    </w:tr>
  </w:tbl>
  <w:p w14:paraId="7AB79F9C" w14:textId="77777777" w:rsidR="00D52BA4" w:rsidRDefault="00D52B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D52BA4" w14:paraId="35E7C764" w14:textId="77777777" w:rsidTr="75828AE8">
      <w:tc>
        <w:tcPr>
          <w:tcW w:w="3009" w:type="dxa"/>
        </w:tcPr>
        <w:p w14:paraId="7B47EBAF" w14:textId="77777777" w:rsidR="00D52BA4" w:rsidRDefault="00D52BA4" w:rsidP="75828AE8">
          <w:pPr>
            <w:pStyle w:val="Header"/>
            <w:ind w:left="-115"/>
          </w:pPr>
        </w:p>
      </w:tc>
      <w:tc>
        <w:tcPr>
          <w:tcW w:w="3009" w:type="dxa"/>
        </w:tcPr>
        <w:p w14:paraId="112988BF" w14:textId="77777777" w:rsidR="00D52BA4" w:rsidRDefault="00D52BA4" w:rsidP="75828AE8">
          <w:pPr>
            <w:pStyle w:val="Header"/>
            <w:jc w:val="center"/>
          </w:pPr>
        </w:p>
      </w:tc>
      <w:tc>
        <w:tcPr>
          <w:tcW w:w="3009" w:type="dxa"/>
        </w:tcPr>
        <w:p w14:paraId="016FB7B8" w14:textId="77777777" w:rsidR="00D52BA4" w:rsidRDefault="00D52BA4" w:rsidP="75828AE8">
          <w:pPr>
            <w:pStyle w:val="Header"/>
            <w:ind w:right="-115"/>
            <w:jc w:val="right"/>
          </w:pPr>
        </w:p>
      </w:tc>
    </w:tr>
  </w:tbl>
  <w:p w14:paraId="17D90DFD" w14:textId="77777777" w:rsidR="00D52BA4" w:rsidRDefault="00D52BA4" w:rsidP="75828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F2B5" w14:textId="77777777" w:rsidR="00593D89" w:rsidRDefault="00593D89" w:rsidP="00910C5D">
      <w:pPr>
        <w:spacing w:after="0" w:line="240" w:lineRule="auto"/>
      </w:pPr>
      <w:r>
        <w:separator/>
      </w:r>
    </w:p>
  </w:footnote>
  <w:footnote w:type="continuationSeparator" w:id="0">
    <w:p w14:paraId="3424A969" w14:textId="77777777" w:rsidR="00593D89" w:rsidRDefault="00593D89" w:rsidP="00910C5D">
      <w:pPr>
        <w:spacing w:after="0" w:line="240" w:lineRule="auto"/>
      </w:pPr>
      <w:r>
        <w:continuationSeparator/>
      </w:r>
    </w:p>
  </w:footnote>
  <w:footnote w:type="continuationNotice" w:id="1">
    <w:p w14:paraId="480D2C14" w14:textId="77777777" w:rsidR="00593D89" w:rsidRDefault="00593D89">
      <w:pPr>
        <w:spacing w:after="0" w:line="240" w:lineRule="auto"/>
      </w:pPr>
    </w:p>
  </w:footnote>
  <w:footnote w:id="2">
    <w:p w14:paraId="658A8EF3" w14:textId="77777777" w:rsidR="00D52BA4" w:rsidRDefault="00D52BA4" w:rsidP="005048F6">
      <w:pPr>
        <w:pStyle w:val="FootnoteText"/>
      </w:pPr>
      <w:r>
        <w:rPr>
          <w:rStyle w:val="FootnoteReference"/>
        </w:rPr>
        <w:footnoteRef/>
      </w:r>
      <w:r>
        <w:t xml:space="preserve"> As defined in MiFIR </w:t>
      </w:r>
    </w:p>
  </w:footnote>
  <w:footnote w:id="3">
    <w:p w14:paraId="04B38BC7" w14:textId="0AABB39C" w:rsidR="00D52BA4" w:rsidRDefault="00D52BA4">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p>
  </w:footnote>
  <w:footnote w:id="4">
    <w:p w14:paraId="70EFF9B8" w14:textId="139B86D5" w:rsidR="00D52BA4" w:rsidRDefault="00D52BA4">
      <w:pPr>
        <w:pStyle w:val="FootnoteText"/>
      </w:pPr>
      <w:r>
        <w:rPr>
          <w:rStyle w:val="FootnoteReference"/>
        </w:rPr>
        <w:footnoteRef/>
      </w:r>
      <w:r>
        <w:t xml:space="preserve"> Please refer to pages 6 and 7</w:t>
      </w:r>
    </w:p>
  </w:footnote>
  <w:footnote w:id="5">
    <w:p w14:paraId="17ACFB6F" w14:textId="77777777" w:rsidR="00D52BA4" w:rsidRDefault="00D52BA4" w:rsidP="00C96581">
      <w:pPr>
        <w:pStyle w:val="FootnoteText"/>
      </w:pPr>
      <w:r>
        <w:rPr>
          <w:rStyle w:val="FootnoteReference"/>
        </w:rPr>
        <w:footnoteRef/>
      </w:r>
      <w:r>
        <w:t xml:space="preserve"> </w:t>
      </w:r>
      <w:hyperlink r:id="rId2" w:history="1">
        <w:r>
          <w:rPr>
            <w:rStyle w:val="Hyperlink"/>
          </w:rPr>
          <w:t>https://www.anna-dsb.com/2020-user-fee-and-user-agreement-consultations/</w:t>
        </w:r>
      </w:hyperlink>
    </w:p>
  </w:footnote>
  <w:footnote w:id="6">
    <w:p w14:paraId="6C224BCF" w14:textId="77777777" w:rsidR="00D52BA4" w:rsidRDefault="00D52BA4" w:rsidP="004C1563">
      <w:pPr>
        <w:pStyle w:val="FootnoteText"/>
      </w:pPr>
      <w:r>
        <w:rPr>
          <w:rStyle w:val="FootnoteReference"/>
        </w:rPr>
        <w:footnoteRef/>
      </w:r>
      <w:r>
        <w:t xml:space="preserve"> </w:t>
      </w:r>
      <w:r>
        <w:fldChar w:fldCharType="begin"/>
      </w:r>
      <w:r>
        <w:instrText xml:space="preserve"> REF _Ref12967367 \h </w:instrText>
      </w:r>
      <w:r>
        <w:fldChar w:fldCharType="separate"/>
      </w:r>
      <w:r w:rsidRPr="00AA0FC9">
        <w:t>Consultation Timeline</w:t>
      </w:r>
      <w:r>
        <w:fldChar w:fldCharType="end"/>
      </w:r>
    </w:p>
  </w:footnote>
  <w:footnote w:id="7">
    <w:p w14:paraId="3D94CB88" w14:textId="77777777" w:rsidR="00D52BA4" w:rsidRDefault="00D52BA4" w:rsidP="00ED1777">
      <w:pPr>
        <w:pStyle w:val="FootnoteText"/>
      </w:pPr>
      <w:r>
        <w:rPr>
          <w:rStyle w:val="FootnoteReference"/>
        </w:rPr>
        <w:footnoteRef/>
      </w:r>
      <w:r>
        <w:t xml:space="preserve"> </w:t>
      </w:r>
      <w:r w:rsidRPr="007F3E33">
        <w:rPr>
          <w:sz w:val="18"/>
          <w:szCs w:val="18"/>
        </w:rPr>
        <w:t>https://anna-dsb-events.webex.com/anna-dsb-events/onstage/g.php?MTID=ec071889618c3b9992bfdbc850cf40e78</w:t>
      </w:r>
    </w:p>
  </w:footnote>
  <w:footnote w:id="8">
    <w:p w14:paraId="153E6A7D" w14:textId="736AB992" w:rsidR="00D52BA4" w:rsidRDefault="00D52BA4">
      <w:pPr>
        <w:pStyle w:val="FootnoteText"/>
      </w:pPr>
      <w:r>
        <w:rPr>
          <w:rStyle w:val="FootnoteReference"/>
        </w:rPr>
        <w:footnoteRef/>
      </w:r>
      <w:r>
        <w:t xml:space="preserve"> The total costs will only be incurred if </w:t>
      </w:r>
      <w:r w:rsidRPr="00552A97">
        <w:rPr>
          <w:u w:val="single"/>
        </w:rPr>
        <w:t>all</w:t>
      </w:r>
      <w:r>
        <w:t xml:space="preserve"> the proposed changes are supported by industry as part of this consultation. The actual cost impact may be smaller or zero, subject to industry feedback.</w:t>
      </w:r>
    </w:p>
  </w:footnote>
  <w:footnote w:id="9">
    <w:p w14:paraId="61E36CEB" w14:textId="6A61827E" w:rsidR="00D52BA4" w:rsidRDefault="00D52BA4">
      <w:pPr>
        <w:pStyle w:val="FootnoteText"/>
      </w:pPr>
      <w:r>
        <w:rPr>
          <w:rStyle w:val="FootnoteReference"/>
        </w:rPr>
        <w:footnoteRef/>
      </w:r>
      <w:r>
        <w:t xml:space="preserve"> The total costs will only be incurred if </w:t>
      </w:r>
      <w:r w:rsidRPr="00552A97">
        <w:rPr>
          <w:u w:val="single"/>
        </w:rPr>
        <w:t>all</w:t>
      </w:r>
      <w:r>
        <w:t xml:space="preserve"> the proposed changes are supported by industry as part of this consultation. The actual cost impact may be smaller or zero, subject to industry feedback.</w:t>
      </w:r>
    </w:p>
  </w:footnote>
  <w:footnote w:id="10">
    <w:p w14:paraId="55A50DE9" w14:textId="721FF126" w:rsidR="00D52BA4" w:rsidRDefault="00D52BA4">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11">
    <w:p w14:paraId="5C16C26C" w14:textId="3AF364A1" w:rsidR="00D52BA4" w:rsidRDefault="00D52BA4">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12">
    <w:p w14:paraId="05FF6B1D" w14:textId="77777777" w:rsidR="00D52BA4" w:rsidRDefault="00D52BA4" w:rsidP="00DB224F">
      <w:pPr>
        <w:pStyle w:val="FootnoteText"/>
      </w:pPr>
      <w:r>
        <w:rPr>
          <w:rStyle w:val="FootnoteReference"/>
        </w:rPr>
        <w:footnoteRef/>
      </w:r>
      <w:r>
        <w:t xml:space="preserve"> The total costs will only be incurred if </w:t>
      </w:r>
      <w:r w:rsidRPr="00552A97">
        <w:rPr>
          <w:u w:val="single"/>
        </w:rPr>
        <w:t>all</w:t>
      </w:r>
      <w:r>
        <w:t xml:space="preserve"> the proposed changes are supported by industry as part of this consultation. The actual cost impact may be smaller or zero, subject to industry feedback.</w:t>
      </w:r>
    </w:p>
  </w:footnote>
  <w:footnote w:id="13">
    <w:p w14:paraId="672E0DB6" w14:textId="77777777" w:rsidR="00D52BA4" w:rsidRDefault="00D52BA4" w:rsidP="00E637D5">
      <w:pPr>
        <w:pStyle w:val="FootnoteText"/>
      </w:pPr>
      <w:r>
        <w:rPr>
          <w:rStyle w:val="FootnoteReference"/>
        </w:rPr>
        <w:footnoteRef/>
      </w:r>
      <w:r>
        <w:t xml:space="preserve"> Capital expenditure in the year it is incurred will be funded by the DSB’s financial sustainability margin and not from additional user fees.</w:t>
      </w:r>
    </w:p>
  </w:footnote>
  <w:footnote w:id="14">
    <w:p w14:paraId="6CD0F38E" w14:textId="77777777" w:rsidR="00D52BA4" w:rsidRDefault="00D52BA4" w:rsidP="00E637D5">
      <w:pPr>
        <w:pStyle w:val="FootnoteText"/>
      </w:pPr>
      <w:r>
        <w:rPr>
          <w:rStyle w:val="FootnoteReference"/>
        </w:rPr>
        <w:footnoteRef/>
      </w:r>
      <w:r>
        <w:t xml:space="preserve"> Capital expenditure is amortized over 4 years, starting from the year after the service goes live. Operating expenditure is included from the year after the service goes live. Before this point, costs are treated as part of the capital expenditure already shown</w:t>
      </w:r>
    </w:p>
  </w:footnote>
  <w:footnote w:id="15">
    <w:p w14:paraId="7E38D8EF" w14:textId="77777777" w:rsidR="00D52BA4" w:rsidRDefault="00D52BA4" w:rsidP="00DB224F">
      <w:pPr>
        <w:pStyle w:val="FootnoteText"/>
      </w:pPr>
      <w:r>
        <w:rPr>
          <w:rStyle w:val="FootnoteReference"/>
        </w:rPr>
        <w:footnoteRef/>
      </w:r>
      <w:r>
        <w:t xml:space="preserve"> The total costs will only be incurred if </w:t>
      </w:r>
      <w:r w:rsidRPr="00552A97">
        <w:rPr>
          <w:u w:val="single"/>
        </w:rPr>
        <w:t>all</w:t>
      </w:r>
      <w:r>
        <w:t xml:space="preserve"> the proposed changes are supported by industry as part of this consultation. The actual cost impact may be smaller or zero, subject to industry feedback.</w:t>
      </w:r>
    </w:p>
  </w:footnote>
  <w:footnote w:id="16">
    <w:p w14:paraId="07D1AC15" w14:textId="6BB419ED" w:rsidR="00D52BA4" w:rsidRDefault="00D52BA4">
      <w:pPr>
        <w:pStyle w:val="FootnoteText"/>
      </w:pPr>
      <w:r>
        <w:rPr>
          <w:rStyle w:val="FootnoteReference"/>
        </w:rPr>
        <w:footnoteRef/>
      </w:r>
      <w:r>
        <w:t xml:space="preserve"> </w:t>
      </w:r>
      <w:hyperlink r:id="rId3" w:history="1">
        <w:r>
          <w:rPr>
            <w:rStyle w:val="Hyperlink"/>
          </w:rPr>
          <w:t>https://www.anna-dsb.com/download/dsb-service-level-policy_v3_2019_final/</w:t>
        </w:r>
      </w:hyperlink>
    </w:p>
  </w:footnote>
  <w:footnote w:id="17">
    <w:p w14:paraId="2EBEDEBE" w14:textId="72D32A44" w:rsidR="00D52BA4" w:rsidRDefault="00D52BA4">
      <w:pPr>
        <w:pStyle w:val="FootnoteText"/>
      </w:pPr>
      <w:r>
        <w:rPr>
          <w:rStyle w:val="FootnoteReference"/>
        </w:rPr>
        <w:footnoteRef/>
      </w:r>
      <w:r>
        <w:t xml:space="preserve"> Further information is available in the first consultation paper - </w:t>
      </w:r>
      <w:hyperlink r:id="rId4" w:history="1">
        <w:r>
          <w:rPr>
            <w:rStyle w:val="Hyperlink"/>
          </w:rPr>
          <w:t>https://www.anna-dsb.com/2020-user-fee-and-user-agreement-consultations/</w:t>
        </w:r>
      </w:hyperlink>
    </w:p>
  </w:footnote>
  <w:footnote w:id="18">
    <w:p w14:paraId="588B84BA" w14:textId="77777777" w:rsidR="00D52BA4" w:rsidRDefault="00D52BA4" w:rsidP="00597165">
      <w:pPr>
        <w:pStyle w:val="FootnoteText"/>
      </w:pPr>
      <w:r>
        <w:rPr>
          <w:rStyle w:val="FootnoteReference"/>
        </w:rPr>
        <w:footnoteRef/>
      </w:r>
      <w:r>
        <w:t xml:space="preserve"> The total costs will only be incurred if </w:t>
      </w:r>
      <w:r w:rsidRPr="00552A97">
        <w:rPr>
          <w:u w:val="single"/>
        </w:rPr>
        <w:t>all</w:t>
      </w:r>
      <w:r>
        <w:t xml:space="preserve"> the proposed changes are supported by industry as part of this consultation. The actual cost impact may be smaller or zero, subject to industry feedback.</w:t>
      </w:r>
    </w:p>
  </w:footnote>
  <w:footnote w:id="19">
    <w:p w14:paraId="1FBE23D0" w14:textId="77777777" w:rsidR="00D52BA4" w:rsidRDefault="00D52BA4" w:rsidP="006B7B1C">
      <w:pPr>
        <w:pStyle w:val="FootnoteText"/>
      </w:pPr>
      <w:r>
        <w:rPr>
          <w:rStyle w:val="FootnoteReference"/>
        </w:rPr>
        <w:footnoteRef/>
      </w:r>
      <w:r>
        <w:t xml:space="preserve"> </w:t>
      </w:r>
      <w:hyperlink r:id="rId5" w:anchor="iso:std:iso-iec:27034:-1:ed-1:v1:en" w:history="1">
        <w:r>
          <w:rPr>
            <w:rStyle w:val="Hyperlink"/>
          </w:rPr>
          <w:t>https://www.iso.org/obp/ui/EN/#iso:std:iso-iec:27034:-1:ed-1:v1:en</w:t>
        </w:r>
      </w:hyperlink>
    </w:p>
  </w:footnote>
  <w:footnote w:id="20">
    <w:p w14:paraId="1AC5467B" w14:textId="69B32CC5" w:rsidR="00D52BA4" w:rsidRDefault="00D52BA4">
      <w:pPr>
        <w:pStyle w:val="FootnoteText"/>
      </w:pPr>
      <w:r>
        <w:rPr>
          <w:rStyle w:val="FootnoteReference"/>
        </w:rPr>
        <w:footnoteRef/>
      </w:r>
      <w:r>
        <w:t xml:space="preserve"> </w:t>
      </w:r>
      <w:hyperlink r:id="rId6" w:history="1">
        <w:r>
          <w:rPr>
            <w:rStyle w:val="Hyperlink"/>
          </w:rPr>
          <w:t>https://www.fsb.org/wp-content/uploads/P131017-2.pdf</w:t>
        </w:r>
      </w:hyperlink>
    </w:p>
  </w:footnote>
  <w:footnote w:id="21">
    <w:p w14:paraId="394A7D4F" w14:textId="77777777" w:rsidR="00D52BA4" w:rsidRDefault="00D52BA4" w:rsidP="007F59FA">
      <w:pPr>
        <w:pStyle w:val="FootnoteText"/>
      </w:pPr>
      <w:r>
        <w:rPr>
          <w:rStyle w:val="FootnoteReference"/>
        </w:rPr>
        <w:footnoteRef/>
      </w:r>
      <w:r>
        <w:t xml:space="preserve"> </w:t>
      </w:r>
      <w:hyperlink r:id="rId7" w:history="1">
        <w:r>
          <w:rPr>
            <w:rStyle w:val="Hyperlink"/>
          </w:rPr>
          <w:t>https://www.anna-dsb.com/download/dsb-final-consultation-report/</w:t>
        </w:r>
      </w:hyperlink>
    </w:p>
  </w:footnote>
  <w:footnote w:id="22">
    <w:p w14:paraId="56F677B9" w14:textId="77777777" w:rsidR="00D52BA4" w:rsidRDefault="00D52BA4" w:rsidP="007F59FA">
      <w:pPr>
        <w:pStyle w:val="FootnoteText"/>
      </w:pPr>
      <w:r>
        <w:rPr>
          <w:rStyle w:val="FootnoteReference"/>
        </w:rPr>
        <w:footnoteRef/>
      </w:r>
      <w:r>
        <w:t xml:space="preserve"> </w:t>
      </w:r>
      <w:hyperlink r:id="rId8" w:history="1">
        <w:r>
          <w:rPr>
            <w:rStyle w:val="Hyperlink"/>
          </w:rPr>
          <w:t>https://www.anna-dsb.com/financial-accounts/</w:t>
        </w:r>
      </w:hyperlink>
    </w:p>
  </w:footnote>
  <w:footnote w:id="23">
    <w:p w14:paraId="70628836" w14:textId="23C3DEBD" w:rsidR="00D52BA4" w:rsidRDefault="00D52BA4">
      <w:pPr>
        <w:pStyle w:val="FootnoteText"/>
      </w:pPr>
      <w:r>
        <w:rPr>
          <w:rStyle w:val="FootnoteReference"/>
        </w:rPr>
        <w:footnoteRef/>
      </w:r>
      <w:r>
        <w:t xml:space="preserve"> </w:t>
      </w:r>
      <w:hyperlink r:id="rId9" w:history="1">
        <w:r>
          <w:rPr>
            <w:rStyle w:val="Hyperlink"/>
          </w:rPr>
          <w:t>https://www.anna-dsb.com/download/dsb-charges-policy_v3-1_2019_final/</w:t>
        </w:r>
      </w:hyperlink>
    </w:p>
  </w:footnote>
  <w:footnote w:id="24">
    <w:p w14:paraId="0B646F6E" w14:textId="0C7161D3" w:rsidR="00D52BA4" w:rsidRDefault="00D52BA4">
      <w:pPr>
        <w:pStyle w:val="FootnoteText"/>
      </w:pPr>
      <w:r>
        <w:rPr>
          <w:rStyle w:val="FootnoteReference"/>
        </w:rPr>
        <w:footnoteRef/>
      </w:r>
      <w:r>
        <w:t xml:space="preserve"> </w:t>
      </w:r>
      <w:hyperlink r:id="rId10" w:history="1">
        <w:r>
          <w:rPr>
            <w:rStyle w:val="Hyperlink"/>
          </w:rPr>
          <w:t>https://www.anna-dsb.com/fee-model-variables/</w:t>
        </w:r>
      </w:hyperlink>
    </w:p>
  </w:footnote>
  <w:footnote w:id="25">
    <w:p w14:paraId="79A69AF6" w14:textId="77777777" w:rsidR="00D52BA4" w:rsidRDefault="00D52BA4" w:rsidP="000E5F51">
      <w:pPr>
        <w:pStyle w:val="FootnoteText"/>
      </w:pPr>
      <w:r>
        <w:rPr>
          <w:rStyle w:val="FootnoteReference"/>
        </w:rPr>
        <w:footnoteRef/>
      </w:r>
      <w:r>
        <w:t xml:space="preserve"> </w:t>
      </w:r>
      <w:hyperlink r:id="rId11" w:history="1">
        <w:r>
          <w:rPr>
            <w:rStyle w:val="Hyperlink"/>
          </w:rPr>
          <w:t>https://www.anna-dsb.com/download/dsb-charges-policy_v3-1_2019_final/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D52BA4" w14:paraId="42E97AE0" w14:textId="77777777" w:rsidTr="75828AE8">
      <w:tc>
        <w:tcPr>
          <w:tcW w:w="3009" w:type="dxa"/>
        </w:tcPr>
        <w:p w14:paraId="074C48D5" w14:textId="77777777" w:rsidR="00D52BA4" w:rsidRDefault="00D52BA4" w:rsidP="75828AE8">
          <w:pPr>
            <w:pStyle w:val="Header"/>
            <w:ind w:left="-115"/>
          </w:pPr>
        </w:p>
      </w:tc>
      <w:tc>
        <w:tcPr>
          <w:tcW w:w="3009" w:type="dxa"/>
        </w:tcPr>
        <w:p w14:paraId="1492D279" w14:textId="77777777" w:rsidR="00D52BA4" w:rsidRDefault="00D52BA4" w:rsidP="75828AE8">
          <w:pPr>
            <w:pStyle w:val="Header"/>
            <w:jc w:val="center"/>
          </w:pPr>
        </w:p>
      </w:tc>
      <w:tc>
        <w:tcPr>
          <w:tcW w:w="3009" w:type="dxa"/>
        </w:tcPr>
        <w:p w14:paraId="5FA11D2F" w14:textId="77777777" w:rsidR="00D52BA4" w:rsidRDefault="00D52BA4" w:rsidP="75828AE8">
          <w:pPr>
            <w:pStyle w:val="Header"/>
            <w:ind w:right="-115"/>
            <w:jc w:val="right"/>
          </w:pPr>
        </w:p>
      </w:tc>
    </w:tr>
  </w:tbl>
  <w:p w14:paraId="121BC54F" w14:textId="77777777" w:rsidR="00D52BA4" w:rsidRDefault="00D52BA4" w:rsidP="75828A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D52BA4" w14:paraId="7896829F" w14:textId="77777777" w:rsidTr="75828AE8">
      <w:tc>
        <w:tcPr>
          <w:tcW w:w="3009" w:type="dxa"/>
        </w:tcPr>
        <w:p w14:paraId="6859A3F3" w14:textId="77777777" w:rsidR="00D52BA4" w:rsidRDefault="00D52BA4" w:rsidP="75828AE8">
          <w:pPr>
            <w:pStyle w:val="Header"/>
            <w:ind w:left="-115"/>
          </w:pPr>
        </w:p>
      </w:tc>
      <w:tc>
        <w:tcPr>
          <w:tcW w:w="3009" w:type="dxa"/>
        </w:tcPr>
        <w:p w14:paraId="51F38801" w14:textId="77777777" w:rsidR="00D52BA4" w:rsidRDefault="00D52BA4" w:rsidP="75828AE8">
          <w:pPr>
            <w:pStyle w:val="Header"/>
            <w:jc w:val="center"/>
          </w:pPr>
        </w:p>
      </w:tc>
      <w:tc>
        <w:tcPr>
          <w:tcW w:w="3009" w:type="dxa"/>
        </w:tcPr>
        <w:p w14:paraId="06B56954" w14:textId="77777777" w:rsidR="00D52BA4" w:rsidRDefault="00D52BA4" w:rsidP="75828AE8">
          <w:pPr>
            <w:pStyle w:val="Header"/>
            <w:ind w:right="-115"/>
            <w:jc w:val="right"/>
          </w:pPr>
        </w:p>
      </w:tc>
    </w:tr>
  </w:tbl>
  <w:p w14:paraId="411DF610" w14:textId="77777777" w:rsidR="00D52BA4" w:rsidRDefault="00D52BA4" w:rsidP="75828A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903"/>
    <w:multiLevelType w:val="multilevel"/>
    <w:tmpl w:val="F7122740"/>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5977"/>
    <w:multiLevelType w:val="multilevel"/>
    <w:tmpl w:val="CA1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02FE"/>
    <w:multiLevelType w:val="hybridMultilevel"/>
    <w:tmpl w:val="F406196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95754"/>
    <w:multiLevelType w:val="multilevel"/>
    <w:tmpl w:val="0424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1004E"/>
    <w:multiLevelType w:val="hybridMultilevel"/>
    <w:tmpl w:val="3CC0F05E"/>
    <w:lvl w:ilvl="0" w:tplc="57C21984">
      <w:start w:val="1"/>
      <w:numFmt w:val="lowerLetter"/>
      <w:lvlText w:val="%1)"/>
      <w:lvlJc w:val="left"/>
      <w:pPr>
        <w:ind w:left="360" w:hanging="360"/>
      </w:pPr>
      <w:rPr>
        <w:rFonts w:ascii="Calibri" w:eastAsiaTheme="majorEastAsia"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FD1C17"/>
    <w:multiLevelType w:val="hybridMultilevel"/>
    <w:tmpl w:val="A95EF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CD624C"/>
    <w:multiLevelType w:val="hybridMultilevel"/>
    <w:tmpl w:val="6B226114"/>
    <w:lvl w:ilvl="0" w:tplc="2B409D84">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 w15:restartNumberingAfterBreak="0">
    <w:nsid w:val="144B41E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6069E"/>
    <w:multiLevelType w:val="hybridMultilevel"/>
    <w:tmpl w:val="31805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907929"/>
    <w:multiLevelType w:val="multilevel"/>
    <w:tmpl w:val="C4D2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E97D1E"/>
    <w:multiLevelType w:val="hybridMultilevel"/>
    <w:tmpl w:val="E4C2A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45EAD"/>
    <w:multiLevelType w:val="hybridMultilevel"/>
    <w:tmpl w:val="5FBAB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4640B7"/>
    <w:multiLevelType w:val="hybridMultilevel"/>
    <w:tmpl w:val="E4DC7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94660E"/>
    <w:multiLevelType w:val="hybridMultilevel"/>
    <w:tmpl w:val="DCF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41FDB"/>
    <w:multiLevelType w:val="hybridMultilevel"/>
    <w:tmpl w:val="7CB25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E0B93"/>
    <w:multiLevelType w:val="hybridMultilevel"/>
    <w:tmpl w:val="FA9E0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C096B"/>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F09D9"/>
    <w:multiLevelType w:val="hybridMultilevel"/>
    <w:tmpl w:val="A80A2664"/>
    <w:lvl w:ilvl="0" w:tplc="CB3C5CE2">
      <w:start w:val="1"/>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663240"/>
    <w:multiLevelType w:val="hybridMultilevel"/>
    <w:tmpl w:val="89808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153CB2"/>
    <w:multiLevelType w:val="hybridMultilevel"/>
    <w:tmpl w:val="93CC72FC"/>
    <w:lvl w:ilvl="0" w:tplc="08090017">
      <w:start w:val="1"/>
      <w:numFmt w:val="lowerLetter"/>
      <w:lvlText w:val="%1)"/>
      <w:lvlJc w:val="left"/>
      <w:pPr>
        <w:ind w:left="360" w:hanging="360"/>
      </w:pPr>
      <w:rPr>
        <w:rFonts w:hint="default"/>
      </w:rPr>
    </w:lvl>
    <w:lvl w:ilvl="1" w:tplc="CBE49A7A">
      <w:start w:val="1"/>
      <w:numFmt w:val="lowerRoman"/>
      <w:lvlText w:val="%2."/>
      <w:lvlJc w:val="righ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3D65FD"/>
    <w:multiLevelType w:val="multilevel"/>
    <w:tmpl w:val="E48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67A5D"/>
    <w:multiLevelType w:val="hybridMultilevel"/>
    <w:tmpl w:val="7CB25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64DBA"/>
    <w:multiLevelType w:val="hybridMultilevel"/>
    <w:tmpl w:val="E4C2A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801AB"/>
    <w:multiLevelType w:val="hybridMultilevel"/>
    <w:tmpl w:val="DD00F996"/>
    <w:lvl w:ilvl="0" w:tplc="1068BFC8">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C700F"/>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56E51"/>
    <w:multiLevelType w:val="multilevel"/>
    <w:tmpl w:val="E2B8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B761A"/>
    <w:multiLevelType w:val="hybridMultilevel"/>
    <w:tmpl w:val="57B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26665"/>
    <w:multiLevelType w:val="hybridMultilevel"/>
    <w:tmpl w:val="942CF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1553B"/>
    <w:multiLevelType w:val="multilevel"/>
    <w:tmpl w:val="09F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666AF1"/>
    <w:multiLevelType w:val="hybridMultilevel"/>
    <w:tmpl w:val="B5B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3C2EB5"/>
    <w:multiLevelType w:val="hybridMultilevel"/>
    <w:tmpl w:val="3694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895439"/>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44B13"/>
    <w:multiLevelType w:val="hybridMultilevel"/>
    <w:tmpl w:val="D5F2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43A9B"/>
    <w:multiLevelType w:val="multilevel"/>
    <w:tmpl w:val="097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1C126A"/>
    <w:multiLevelType w:val="multilevel"/>
    <w:tmpl w:val="4D2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DF2061"/>
    <w:multiLevelType w:val="hybridMultilevel"/>
    <w:tmpl w:val="CC30C624"/>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C597E"/>
    <w:multiLevelType w:val="hybridMultilevel"/>
    <w:tmpl w:val="2FB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F35BB"/>
    <w:multiLevelType w:val="multilevel"/>
    <w:tmpl w:val="EA6C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11079"/>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3929"/>
    <w:multiLevelType w:val="hybridMultilevel"/>
    <w:tmpl w:val="902A0552"/>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055DD"/>
    <w:multiLevelType w:val="hybridMultilevel"/>
    <w:tmpl w:val="FA9E0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890238"/>
    <w:multiLevelType w:val="hybridMultilevel"/>
    <w:tmpl w:val="EA406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2B0406"/>
    <w:multiLevelType w:val="multilevel"/>
    <w:tmpl w:val="0734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14E15"/>
    <w:multiLevelType w:val="multilevel"/>
    <w:tmpl w:val="60C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B64C2"/>
    <w:multiLevelType w:val="hybridMultilevel"/>
    <w:tmpl w:val="7CB25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543C43"/>
    <w:multiLevelType w:val="hybridMultilevel"/>
    <w:tmpl w:val="217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827A4"/>
    <w:multiLevelType w:val="multilevel"/>
    <w:tmpl w:val="F96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360930"/>
    <w:multiLevelType w:val="multilevel"/>
    <w:tmpl w:val="3008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0"/>
  </w:num>
  <w:num w:numId="4">
    <w:abstractNumId w:val="18"/>
  </w:num>
  <w:num w:numId="5">
    <w:abstractNumId w:val="13"/>
  </w:num>
  <w:num w:numId="6">
    <w:abstractNumId w:val="25"/>
  </w:num>
  <w:num w:numId="7">
    <w:abstractNumId w:val="4"/>
  </w:num>
  <w:num w:numId="8">
    <w:abstractNumId w:val="8"/>
  </w:num>
  <w:num w:numId="9">
    <w:abstractNumId w:val="7"/>
  </w:num>
  <w:num w:numId="10">
    <w:abstractNumId w:val="50"/>
  </w:num>
  <w:num w:numId="11">
    <w:abstractNumId w:val="37"/>
  </w:num>
  <w:num w:numId="12">
    <w:abstractNumId w:val="3"/>
  </w:num>
  <w:num w:numId="13">
    <w:abstractNumId w:val="49"/>
  </w:num>
  <w:num w:numId="14">
    <w:abstractNumId w:val="36"/>
  </w:num>
  <w:num w:numId="15">
    <w:abstractNumId w:val="2"/>
  </w:num>
  <w:num w:numId="16">
    <w:abstractNumId w:val="9"/>
  </w:num>
  <w:num w:numId="17">
    <w:abstractNumId w:val="1"/>
  </w:num>
  <w:num w:numId="18">
    <w:abstractNumId w:val="40"/>
  </w:num>
  <w:num w:numId="19">
    <w:abstractNumId w:val="45"/>
  </w:num>
  <w:num w:numId="20">
    <w:abstractNumId w:val="21"/>
  </w:num>
  <w:num w:numId="21">
    <w:abstractNumId w:val="28"/>
  </w:num>
  <w:num w:numId="22">
    <w:abstractNumId w:val="46"/>
  </w:num>
  <w:num w:numId="23">
    <w:abstractNumId w:val="31"/>
  </w:num>
  <w:num w:numId="24">
    <w:abstractNumId w:val="12"/>
  </w:num>
  <w:num w:numId="25">
    <w:abstractNumId w:val="6"/>
  </w:num>
  <w:num w:numId="26">
    <w:abstractNumId w:val="15"/>
  </w:num>
  <w:num w:numId="27">
    <w:abstractNumId w:val="16"/>
  </w:num>
  <w:num w:numId="28">
    <w:abstractNumId w:val="19"/>
  </w:num>
  <w:num w:numId="29">
    <w:abstractNumId w:val="47"/>
  </w:num>
  <w:num w:numId="30">
    <w:abstractNumId w:val="24"/>
  </w:num>
  <w:num w:numId="31">
    <w:abstractNumId w:val="7"/>
  </w:num>
  <w:num w:numId="32">
    <w:abstractNumId w:val="8"/>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3"/>
  </w:num>
  <w:num w:numId="37">
    <w:abstractNumId w:val="11"/>
  </w:num>
  <w:num w:numId="38">
    <w:abstractNumId w:val="22"/>
  </w:num>
  <w:num w:numId="39">
    <w:abstractNumId w:val="38"/>
  </w:num>
  <w:num w:numId="40">
    <w:abstractNumId w:val="42"/>
  </w:num>
  <w:num w:numId="41">
    <w:abstractNumId w:val="27"/>
  </w:num>
  <w:num w:numId="42">
    <w:abstractNumId w:val="17"/>
  </w:num>
  <w:num w:numId="43">
    <w:abstractNumId w:val="20"/>
  </w:num>
  <w:num w:numId="44">
    <w:abstractNumId w:val="14"/>
  </w:num>
  <w:num w:numId="45">
    <w:abstractNumId w:val="48"/>
  </w:num>
  <w:num w:numId="46">
    <w:abstractNumId w:val="44"/>
  </w:num>
  <w:num w:numId="47">
    <w:abstractNumId w:val="33"/>
  </w:num>
  <w:num w:numId="48">
    <w:abstractNumId w:val="34"/>
  </w:num>
  <w:num w:numId="49">
    <w:abstractNumId w:val="41"/>
  </w:num>
  <w:num w:numId="50">
    <w:abstractNumId w:val="35"/>
  </w:num>
  <w:num w:numId="51">
    <w:abstractNumId w:val="29"/>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2"/>
  </w:num>
  <w:num w:numId="55">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98"/>
    <w:rsid w:val="000005EF"/>
    <w:rsid w:val="000007B8"/>
    <w:rsid w:val="000007CC"/>
    <w:rsid w:val="00000F23"/>
    <w:rsid w:val="0000110E"/>
    <w:rsid w:val="00001B23"/>
    <w:rsid w:val="0000221D"/>
    <w:rsid w:val="0000263E"/>
    <w:rsid w:val="00003892"/>
    <w:rsid w:val="00003BC1"/>
    <w:rsid w:val="00003D99"/>
    <w:rsid w:val="00003DC6"/>
    <w:rsid w:val="000040A0"/>
    <w:rsid w:val="00004E0C"/>
    <w:rsid w:val="000055CC"/>
    <w:rsid w:val="00005CAE"/>
    <w:rsid w:val="00005E57"/>
    <w:rsid w:val="00006145"/>
    <w:rsid w:val="00006161"/>
    <w:rsid w:val="0000655B"/>
    <w:rsid w:val="0000684F"/>
    <w:rsid w:val="00006FCE"/>
    <w:rsid w:val="00007CE1"/>
    <w:rsid w:val="0001027F"/>
    <w:rsid w:val="00010801"/>
    <w:rsid w:val="00010E86"/>
    <w:rsid w:val="00011F07"/>
    <w:rsid w:val="000122C2"/>
    <w:rsid w:val="00013CCE"/>
    <w:rsid w:val="0001439C"/>
    <w:rsid w:val="00014415"/>
    <w:rsid w:val="00014463"/>
    <w:rsid w:val="00015474"/>
    <w:rsid w:val="00015E4C"/>
    <w:rsid w:val="00016651"/>
    <w:rsid w:val="00016C39"/>
    <w:rsid w:val="00017437"/>
    <w:rsid w:val="00017C13"/>
    <w:rsid w:val="000213E6"/>
    <w:rsid w:val="00021AF2"/>
    <w:rsid w:val="00021D9A"/>
    <w:rsid w:val="00022B6F"/>
    <w:rsid w:val="00022DF6"/>
    <w:rsid w:val="00022E80"/>
    <w:rsid w:val="00023F7D"/>
    <w:rsid w:val="00024B18"/>
    <w:rsid w:val="00025170"/>
    <w:rsid w:val="000252C5"/>
    <w:rsid w:val="000257F5"/>
    <w:rsid w:val="00025B1B"/>
    <w:rsid w:val="00026117"/>
    <w:rsid w:val="000271B4"/>
    <w:rsid w:val="00027539"/>
    <w:rsid w:val="000278C0"/>
    <w:rsid w:val="00027909"/>
    <w:rsid w:val="00027B1B"/>
    <w:rsid w:val="0003043C"/>
    <w:rsid w:val="000308C8"/>
    <w:rsid w:val="0003119F"/>
    <w:rsid w:val="00031AB4"/>
    <w:rsid w:val="0003247F"/>
    <w:rsid w:val="00032CF1"/>
    <w:rsid w:val="000341BF"/>
    <w:rsid w:val="0003566A"/>
    <w:rsid w:val="00035B2B"/>
    <w:rsid w:val="00035C67"/>
    <w:rsid w:val="00035C76"/>
    <w:rsid w:val="00036712"/>
    <w:rsid w:val="0003683B"/>
    <w:rsid w:val="00036C2B"/>
    <w:rsid w:val="000401D7"/>
    <w:rsid w:val="00040849"/>
    <w:rsid w:val="00041098"/>
    <w:rsid w:val="00041424"/>
    <w:rsid w:val="00041A56"/>
    <w:rsid w:val="00041C11"/>
    <w:rsid w:val="00042820"/>
    <w:rsid w:val="0004320A"/>
    <w:rsid w:val="00043C8A"/>
    <w:rsid w:val="00044268"/>
    <w:rsid w:val="000443F3"/>
    <w:rsid w:val="0004477C"/>
    <w:rsid w:val="00044F25"/>
    <w:rsid w:val="00045004"/>
    <w:rsid w:val="00045DE0"/>
    <w:rsid w:val="00045FED"/>
    <w:rsid w:val="0004673F"/>
    <w:rsid w:val="00046DA9"/>
    <w:rsid w:val="00046F1D"/>
    <w:rsid w:val="0004729A"/>
    <w:rsid w:val="000476D5"/>
    <w:rsid w:val="00050792"/>
    <w:rsid w:val="0005084A"/>
    <w:rsid w:val="00050DC6"/>
    <w:rsid w:val="000513CA"/>
    <w:rsid w:val="00051E61"/>
    <w:rsid w:val="000522CF"/>
    <w:rsid w:val="000523FB"/>
    <w:rsid w:val="000543FD"/>
    <w:rsid w:val="0005442F"/>
    <w:rsid w:val="00054B91"/>
    <w:rsid w:val="0005522E"/>
    <w:rsid w:val="00056033"/>
    <w:rsid w:val="0005653A"/>
    <w:rsid w:val="00056960"/>
    <w:rsid w:val="000575B1"/>
    <w:rsid w:val="00057CD0"/>
    <w:rsid w:val="000602B1"/>
    <w:rsid w:val="00060F47"/>
    <w:rsid w:val="000611CC"/>
    <w:rsid w:val="0006167F"/>
    <w:rsid w:val="000616E5"/>
    <w:rsid w:val="00061866"/>
    <w:rsid w:val="00061B9D"/>
    <w:rsid w:val="00061EEA"/>
    <w:rsid w:val="00062867"/>
    <w:rsid w:val="0006306D"/>
    <w:rsid w:val="00063963"/>
    <w:rsid w:val="00063D77"/>
    <w:rsid w:val="000642F4"/>
    <w:rsid w:val="00064B0F"/>
    <w:rsid w:val="00066183"/>
    <w:rsid w:val="000663BC"/>
    <w:rsid w:val="000663DC"/>
    <w:rsid w:val="000663FB"/>
    <w:rsid w:val="00066A0C"/>
    <w:rsid w:val="00066ADF"/>
    <w:rsid w:val="000678F1"/>
    <w:rsid w:val="00070355"/>
    <w:rsid w:val="00070E7B"/>
    <w:rsid w:val="000712BD"/>
    <w:rsid w:val="0007159D"/>
    <w:rsid w:val="000715F7"/>
    <w:rsid w:val="0007180E"/>
    <w:rsid w:val="00072687"/>
    <w:rsid w:val="00072931"/>
    <w:rsid w:val="00072FDA"/>
    <w:rsid w:val="00073AF4"/>
    <w:rsid w:val="00073D1E"/>
    <w:rsid w:val="00074E73"/>
    <w:rsid w:val="000762D1"/>
    <w:rsid w:val="00076547"/>
    <w:rsid w:val="00076DBC"/>
    <w:rsid w:val="00077989"/>
    <w:rsid w:val="0008038E"/>
    <w:rsid w:val="00080D4F"/>
    <w:rsid w:val="000830CA"/>
    <w:rsid w:val="000832C2"/>
    <w:rsid w:val="0008338F"/>
    <w:rsid w:val="00083EFE"/>
    <w:rsid w:val="000850A4"/>
    <w:rsid w:val="000856BA"/>
    <w:rsid w:val="000863C6"/>
    <w:rsid w:val="00086AD7"/>
    <w:rsid w:val="0008738A"/>
    <w:rsid w:val="00087491"/>
    <w:rsid w:val="0008750C"/>
    <w:rsid w:val="00087734"/>
    <w:rsid w:val="0009045C"/>
    <w:rsid w:val="0009065C"/>
    <w:rsid w:val="0009106D"/>
    <w:rsid w:val="0009276F"/>
    <w:rsid w:val="00093504"/>
    <w:rsid w:val="00093554"/>
    <w:rsid w:val="00093AE8"/>
    <w:rsid w:val="00094399"/>
    <w:rsid w:val="0009489B"/>
    <w:rsid w:val="00095490"/>
    <w:rsid w:val="00095D4E"/>
    <w:rsid w:val="00095F12"/>
    <w:rsid w:val="0009614F"/>
    <w:rsid w:val="0009653F"/>
    <w:rsid w:val="000971C3"/>
    <w:rsid w:val="000976E0"/>
    <w:rsid w:val="00097C98"/>
    <w:rsid w:val="000A0492"/>
    <w:rsid w:val="000A0701"/>
    <w:rsid w:val="000A1409"/>
    <w:rsid w:val="000A15B0"/>
    <w:rsid w:val="000A214E"/>
    <w:rsid w:val="000A29AC"/>
    <w:rsid w:val="000A32B5"/>
    <w:rsid w:val="000A4826"/>
    <w:rsid w:val="000A4941"/>
    <w:rsid w:val="000A4D7D"/>
    <w:rsid w:val="000A56E1"/>
    <w:rsid w:val="000A5C48"/>
    <w:rsid w:val="000A6211"/>
    <w:rsid w:val="000A69A7"/>
    <w:rsid w:val="000A7CCB"/>
    <w:rsid w:val="000B1506"/>
    <w:rsid w:val="000B1CC6"/>
    <w:rsid w:val="000B27F4"/>
    <w:rsid w:val="000B3027"/>
    <w:rsid w:val="000B35D1"/>
    <w:rsid w:val="000B379D"/>
    <w:rsid w:val="000B3805"/>
    <w:rsid w:val="000B4877"/>
    <w:rsid w:val="000B4904"/>
    <w:rsid w:val="000B4AFF"/>
    <w:rsid w:val="000B4D01"/>
    <w:rsid w:val="000B4F16"/>
    <w:rsid w:val="000B57A9"/>
    <w:rsid w:val="000B5C16"/>
    <w:rsid w:val="000B6680"/>
    <w:rsid w:val="000B66A3"/>
    <w:rsid w:val="000B740B"/>
    <w:rsid w:val="000B76E3"/>
    <w:rsid w:val="000B7713"/>
    <w:rsid w:val="000B7CB3"/>
    <w:rsid w:val="000C0062"/>
    <w:rsid w:val="000C02E9"/>
    <w:rsid w:val="000C0EC0"/>
    <w:rsid w:val="000C1488"/>
    <w:rsid w:val="000C16BB"/>
    <w:rsid w:val="000C1F57"/>
    <w:rsid w:val="000C2341"/>
    <w:rsid w:val="000C245F"/>
    <w:rsid w:val="000C279C"/>
    <w:rsid w:val="000C2BBF"/>
    <w:rsid w:val="000C2DA4"/>
    <w:rsid w:val="000C333C"/>
    <w:rsid w:val="000C3476"/>
    <w:rsid w:val="000C4B41"/>
    <w:rsid w:val="000C4DCC"/>
    <w:rsid w:val="000C5E33"/>
    <w:rsid w:val="000C5E9B"/>
    <w:rsid w:val="000C6868"/>
    <w:rsid w:val="000C747F"/>
    <w:rsid w:val="000C74AD"/>
    <w:rsid w:val="000C7C63"/>
    <w:rsid w:val="000C7CBC"/>
    <w:rsid w:val="000C7DB4"/>
    <w:rsid w:val="000D0351"/>
    <w:rsid w:val="000D067E"/>
    <w:rsid w:val="000D0AD1"/>
    <w:rsid w:val="000D2BD7"/>
    <w:rsid w:val="000D2C97"/>
    <w:rsid w:val="000D2D76"/>
    <w:rsid w:val="000D3330"/>
    <w:rsid w:val="000D420B"/>
    <w:rsid w:val="000D511F"/>
    <w:rsid w:val="000D5A0A"/>
    <w:rsid w:val="000D62A4"/>
    <w:rsid w:val="000D651E"/>
    <w:rsid w:val="000D6569"/>
    <w:rsid w:val="000D6E49"/>
    <w:rsid w:val="000D6E74"/>
    <w:rsid w:val="000D72AF"/>
    <w:rsid w:val="000E0014"/>
    <w:rsid w:val="000E02DB"/>
    <w:rsid w:val="000E214F"/>
    <w:rsid w:val="000E317F"/>
    <w:rsid w:val="000E33E5"/>
    <w:rsid w:val="000E3664"/>
    <w:rsid w:val="000E36C5"/>
    <w:rsid w:val="000E3CFF"/>
    <w:rsid w:val="000E41E0"/>
    <w:rsid w:val="000E4843"/>
    <w:rsid w:val="000E52A2"/>
    <w:rsid w:val="000E5A6B"/>
    <w:rsid w:val="000E5A91"/>
    <w:rsid w:val="000E5B24"/>
    <w:rsid w:val="000E5F51"/>
    <w:rsid w:val="000E642B"/>
    <w:rsid w:val="000E658C"/>
    <w:rsid w:val="000E66BD"/>
    <w:rsid w:val="000E709A"/>
    <w:rsid w:val="000E70F2"/>
    <w:rsid w:val="000E7AA8"/>
    <w:rsid w:val="000F0061"/>
    <w:rsid w:val="000F0DCE"/>
    <w:rsid w:val="000F1A13"/>
    <w:rsid w:val="000F1AB5"/>
    <w:rsid w:val="000F1F91"/>
    <w:rsid w:val="000F2464"/>
    <w:rsid w:val="000F24CB"/>
    <w:rsid w:val="000F26DB"/>
    <w:rsid w:val="000F2950"/>
    <w:rsid w:val="000F2ECA"/>
    <w:rsid w:val="000F318F"/>
    <w:rsid w:val="000F35BB"/>
    <w:rsid w:val="000F375B"/>
    <w:rsid w:val="000F411D"/>
    <w:rsid w:val="000F47E3"/>
    <w:rsid w:val="000F4890"/>
    <w:rsid w:val="000F4C34"/>
    <w:rsid w:val="000F4EDD"/>
    <w:rsid w:val="000F5381"/>
    <w:rsid w:val="000F58C1"/>
    <w:rsid w:val="000F5BF6"/>
    <w:rsid w:val="000F6119"/>
    <w:rsid w:val="000F634A"/>
    <w:rsid w:val="000F6B3D"/>
    <w:rsid w:val="000F6CF9"/>
    <w:rsid w:val="000F7816"/>
    <w:rsid w:val="00100B2C"/>
    <w:rsid w:val="001014C6"/>
    <w:rsid w:val="00101778"/>
    <w:rsid w:val="00101C58"/>
    <w:rsid w:val="00102EAE"/>
    <w:rsid w:val="00103D21"/>
    <w:rsid w:val="00104675"/>
    <w:rsid w:val="00104BFA"/>
    <w:rsid w:val="00104E64"/>
    <w:rsid w:val="00104FEC"/>
    <w:rsid w:val="0010530A"/>
    <w:rsid w:val="00105653"/>
    <w:rsid w:val="00105BCC"/>
    <w:rsid w:val="001060EE"/>
    <w:rsid w:val="00107134"/>
    <w:rsid w:val="00110108"/>
    <w:rsid w:val="00110457"/>
    <w:rsid w:val="00110683"/>
    <w:rsid w:val="001108E7"/>
    <w:rsid w:val="00110E05"/>
    <w:rsid w:val="00110F0D"/>
    <w:rsid w:val="00111931"/>
    <w:rsid w:val="00111E39"/>
    <w:rsid w:val="00111F0D"/>
    <w:rsid w:val="00112673"/>
    <w:rsid w:val="001128A2"/>
    <w:rsid w:val="00112C76"/>
    <w:rsid w:val="00113CAA"/>
    <w:rsid w:val="0011578C"/>
    <w:rsid w:val="00115DB9"/>
    <w:rsid w:val="00116F52"/>
    <w:rsid w:val="0011769E"/>
    <w:rsid w:val="00117E60"/>
    <w:rsid w:val="0012007E"/>
    <w:rsid w:val="0012011E"/>
    <w:rsid w:val="0012036F"/>
    <w:rsid w:val="001207D6"/>
    <w:rsid w:val="001218BE"/>
    <w:rsid w:val="00121F64"/>
    <w:rsid w:val="001228A9"/>
    <w:rsid w:val="00122C23"/>
    <w:rsid w:val="0012308E"/>
    <w:rsid w:val="00123173"/>
    <w:rsid w:val="00123F87"/>
    <w:rsid w:val="00124394"/>
    <w:rsid w:val="00124BBE"/>
    <w:rsid w:val="001251A9"/>
    <w:rsid w:val="001273AF"/>
    <w:rsid w:val="00127C33"/>
    <w:rsid w:val="00130346"/>
    <w:rsid w:val="0013035F"/>
    <w:rsid w:val="00130598"/>
    <w:rsid w:val="001307B7"/>
    <w:rsid w:val="00131324"/>
    <w:rsid w:val="00132096"/>
    <w:rsid w:val="001326E7"/>
    <w:rsid w:val="001327C9"/>
    <w:rsid w:val="00132BB2"/>
    <w:rsid w:val="00132C7B"/>
    <w:rsid w:val="00132D92"/>
    <w:rsid w:val="00132F14"/>
    <w:rsid w:val="001330D9"/>
    <w:rsid w:val="001344A0"/>
    <w:rsid w:val="0013465A"/>
    <w:rsid w:val="00134ACB"/>
    <w:rsid w:val="00135102"/>
    <w:rsid w:val="00135C49"/>
    <w:rsid w:val="00136496"/>
    <w:rsid w:val="001367BE"/>
    <w:rsid w:val="00136C99"/>
    <w:rsid w:val="00136FA4"/>
    <w:rsid w:val="0013733D"/>
    <w:rsid w:val="001379FE"/>
    <w:rsid w:val="00137AD8"/>
    <w:rsid w:val="001401C6"/>
    <w:rsid w:val="001404D2"/>
    <w:rsid w:val="001415E9"/>
    <w:rsid w:val="00141B7E"/>
    <w:rsid w:val="00141F6E"/>
    <w:rsid w:val="001428E9"/>
    <w:rsid w:val="00142988"/>
    <w:rsid w:val="00142E39"/>
    <w:rsid w:val="00143D34"/>
    <w:rsid w:val="0014479B"/>
    <w:rsid w:val="00146276"/>
    <w:rsid w:val="00146F42"/>
    <w:rsid w:val="00147298"/>
    <w:rsid w:val="00147F00"/>
    <w:rsid w:val="00150297"/>
    <w:rsid w:val="001506BF"/>
    <w:rsid w:val="00150751"/>
    <w:rsid w:val="00150E28"/>
    <w:rsid w:val="00151B6E"/>
    <w:rsid w:val="00151DE7"/>
    <w:rsid w:val="00152250"/>
    <w:rsid w:val="00152652"/>
    <w:rsid w:val="00152923"/>
    <w:rsid w:val="00152A8B"/>
    <w:rsid w:val="0015363B"/>
    <w:rsid w:val="00153D6B"/>
    <w:rsid w:val="0015414E"/>
    <w:rsid w:val="00156270"/>
    <w:rsid w:val="0015713C"/>
    <w:rsid w:val="0015754F"/>
    <w:rsid w:val="00157598"/>
    <w:rsid w:val="001608D5"/>
    <w:rsid w:val="00160F17"/>
    <w:rsid w:val="00160F1A"/>
    <w:rsid w:val="00161456"/>
    <w:rsid w:val="00162219"/>
    <w:rsid w:val="001629CA"/>
    <w:rsid w:val="00162B84"/>
    <w:rsid w:val="00162DC9"/>
    <w:rsid w:val="001630DD"/>
    <w:rsid w:val="0016370A"/>
    <w:rsid w:val="00163EB4"/>
    <w:rsid w:val="0016417E"/>
    <w:rsid w:val="00164982"/>
    <w:rsid w:val="0016498E"/>
    <w:rsid w:val="00164C5B"/>
    <w:rsid w:val="00164ED6"/>
    <w:rsid w:val="0016570F"/>
    <w:rsid w:val="00165D63"/>
    <w:rsid w:val="00165DE0"/>
    <w:rsid w:val="00166321"/>
    <w:rsid w:val="001663C8"/>
    <w:rsid w:val="00166AC3"/>
    <w:rsid w:val="00166C00"/>
    <w:rsid w:val="00166D22"/>
    <w:rsid w:val="001705EB"/>
    <w:rsid w:val="00170C5E"/>
    <w:rsid w:val="00170D01"/>
    <w:rsid w:val="00170F59"/>
    <w:rsid w:val="001711C9"/>
    <w:rsid w:val="001722B2"/>
    <w:rsid w:val="0017237F"/>
    <w:rsid w:val="00172CC2"/>
    <w:rsid w:val="00173C54"/>
    <w:rsid w:val="0017487E"/>
    <w:rsid w:val="00176269"/>
    <w:rsid w:val="00176318"/>
    <w:rsid w:val="0017653C"/>
    <w:rsid w:val="00176BB9"/>
    <w:rsid w:val="00176E6D"/>
    <w:rsid w:val="0017727D"/>
    <w:rsid w:val="00177379"/>
    <w:rsid w:val="001779C0"/>
    <w:rsid w:val="00181924"/>
    <w:rsid w:val="0018196C"/>
    <w:rsid w:val="00182391"/>
    <w:rsid w:val="00182492"/>
    <w:rsid w:val="00182FDC"/>
    <w:rsid w:val="0018331D"/>
    <w:rsid w:val="00183EC2"/>
    <w:rsid w:val="00184E0F"/>
    <w:rsid w:val="0018513C"/>
    <w:rsid w:val="001852C4"/>
    <w:rsid w:val="00185300"/>
    <w:rsid w:val="0018544E"/>
    <w:rsid w:val="0018692D"/>
    <w:rsid w:val="00186FC7"/>
    <w:rsid w:val="001870FE"/>
    <w:rsid w:val="001873FB"/>
    <w:rsid w:val="00190625"/>
    <w:rsid w:val="00190B98"/>
    <w:rsid w:val="00191847"/>
    <w:rsid w:val="00191F82"/>
    <w:rsid w:val="00191F8B"/>
    <w:rsid w:val="00191FE2"/>
    <w:rsid w:val="00191FFD"/>
    <w:rsid w:val="00192565"/>
    <w:rsid w:val="00192A7E"/>
    <w:rsid w:val="00193502"/>
    <w:rsid w:val="0019371D"/>
    <w:rsid w:val="00193971"/>
    <w:rsid w:val="00193BE6"/>
    <w:rsid w:val="00194A72"/>
    <w:rsid w:val="00194E4C"/>
    <w:rsid w:val="00195103"/>
    <w:rsid w:val="00195790"/>
    <w:rsid w:val="001962A0"/>
    <w:rsid w:val="001966FE"/>
    <w:rsid w:val="00196A63"/>
    <w:rsid w:val="0019721E"/>
    <w:rsid w:val="001978F0"/>
    <w:rsid w:val="00197AC6"/>
    <w:rsid w:val="00197BB2"/>
    <w:rsid w:val="001A1110"/>
    <w:rsid w:val="001A17D5"/>
    <w:rsid w:val="001A1A96"/>
    <w:rsid w:val="001A1B9B"/>
    <w:rsid w:val="001A3C2D"/>
    <w:rsid w:val="001A434E"/>
    <w:rsid w:val="001A544D"/>
    <w:rsid w:val="001A570A"/>
    <w:rsid w:val="001A5B98"/>
    <w:rsid w:val="001A606F"/>
    <w:rsid w:val="001A6651"/>
    <w:rsid w:val="001A69D5"/>
    <w:rsid w:val="001A69F8"/>
    <w:rsid w:val="001A6FED"/>
    <w:rsid w:val="001A7952"/>
    <w:rsid w:val="001A7FD4"/>
    <w:rsid w:val="001B01EC"/>
    <w:rsid w:val="001B10DF"/>
    <w:rsid w:val="001B12C7"/>
    <w:rsid w:val="001B1379"/>
    <w:rsid w:val="001B2625"/>
    <w:rsid w:val="001B412B"/>
    <w:rsid w:val="001B4672"/>
    <w:rsid w:val="001B46EB"/>
    <w:rsid w:val="001B48E4"/>
    <w:rsid w:val="001B54DD"/>
    <w:rsid w:val="001B5B8B"/>
    <w:rsid w:val="001B5C67"/>
    <w:rsid w:val="001B5E20"/>
    <w:rsid w:val="001B61A0"/>
    <w:rsid w:val="001B6A61"/>
    <w:rsid w:val="001B7405"/>
    <w:rsid w:val="001B75BE"/>
    <w:rsid w:val="001B77A9"/>
    <w:rsid w:val="001B7A5E"/>
    <w:rsid w:val="001B7B16"/>
    <w:rsid w:val="001B7DBC"/>
    <w:rsid w:val="001C00B7"/>
    <w:rsid w:val="001C01AB"/>
    <w:rsid w:val="001C032B"/>
    <w:rsid w:val="001C0490"/>
    <w:rsid w:val="001C11C7"/>
    <w:rsid w:val="001C1236"/>
    <w:rsid w:val="001C1E88"/>
    <w:rsid w:val="001C2304"/>
    <w:rsid w:val="001C235C"/>
    <w:rsid w:val="001C32FA"/>
    <w:rsid w:val="001C3A5F"/>
    <w:rsid w:val="001C441B"/>
    <w:rsid w:val="001C481D"/>
    <w:rsid w:val="001C5850"/>
    <w:rsid w:val="001C599E"/>
    <w:rsid w:val="001C5E8B"/>
    <w:rsid w:val="001C6984"/>
    <w:rsid w:val="001C6CC9"/>
    <w:rsid w:val="001C6D92"/>
    <w:rsid w:val="001D0012"/>
    <w:rsid w:val="001D0722"/>
    <w:rsid w:val="001D0DBF"/>
    <w:rsid w:val="001D1939"/>
    <w:rsid w:val="001D1C1B"/>
    <w:rsid w:val="001D2FE0"/>
    <w:rsid w:val="001D3B47"/>
    <w:rsid w:val="001D3EB5"/>
    <w:rsid w:val="001D4A94"/>
    <w:rsid w:val="001D4F71"/>
    <w:rsid w:val="001D5DC6"/>
    <w:rsid w:val="001D648E"/>
    <w:rsid w:val="001D6869"/>
    <w:rsid w:val="001D6929"/>
    <w:rsid w:val="001D746C"/>
    <w:rsid w:val="001D7F15"/>
    <w:rsid w:val="001D7F9D"/>
    <w:rsid w:val="001E0504"/>
    <w:rsid w:val="001E0792"/>
    <w:rsid w:val="001E0F30"/>
    <w:rsid w:val="001E1545"/>
    <w:rsid w:val="001E1700"/>
    <w:rsid w:val="001E18AC"/>
    <w:rsid w:val="001E1CDB"/>
    <w:rsid w:val="001E3747"/>
    <w:rsid w:val="001E498E"/>
    <w:rsid w:val="001E5B86"/>
    <w:rsid w:val="001E6123"/>
    <w:rsid w:val="001E6334"/>
    <w:rsid w:val="001E6473"/>
    <w:rsid w:val="001E6DF2"/>
    <w:rsid w:val="001F13BB"/>
    <w:rsid w:val="001F186E"/>
    <w:rsid w:val="001F400F"/>
    <w:rsid w:val="001F44AF"/>
    <w:rsid w:val="001F47CD"/>
    <w:rsid w:val="001F52D7"/>
    <w:rsid w:val="001F54B4"/>
    <w:rsid w:val="001F6B72"/>
    <w:rsid w:val="001F7D4D"/>
    <w:rsid w:val="002002DE"/>
    <w:rsid w:val="002003BD"/>
    <w:rsid w:val="002003F5"/>
    <w:rsid w:val="00200D82"/>
    <w:rsid w:val="00200EFB"/>
    <w:rsid w:val="00202280"/>
    <w:rsid w:val="0020335A"/>
    <w:rsid w:val="002047CB"/>
    <w:rsid w:val="00204A43"/>
    <w:rsid w:val="00204C48"/>
    <w:rsid w:val="002060F7"/>
    <w:rsid w:val="00206606"/>
    <w:rsid w:val="0020673F"/>
    <w:rsid w:val="0020733F"/>
    <w:rsid w:val="00207D21"/>
    <w:rsid w:val="00210630"/>
    <w:rsid w:val="002106F9"/>
    <w:rsid w:val="00210B0C"/>
    <w:rsid w:val="0021175A"/>
    <w:rsid w:val="00212503"/>
    <w:rsid w:val="0021276A"/>
    <w:rsid w:val="00212AC0"/>
    <w:rsid w:val="00212FC8"/>
    <w:rsid w:val="00213B0D"/>
    <w:rsid w:val="002149AE"/>
    <w:rsid w:val="00215CF8"/>
    <w:rsid w:val="00215F8E"/>
    <w:rsid w:val="00216032"/>
    <w:rsid w:val="00217078"/>
    <w:rsid w:val="0022100B"/>
    <w:rsid w:val="00221746"/>
    <w:rsid w:val="00221C7E"/>
    <w:rsid w:val="00222408"/>
    <w:rsid w:val="00223259"/>
    <w:rsid w:val="002241E9"/>
    <w:rsid w:val="00224676"/>
    <w:rsid w:val="0022468A"/>
    <w:rsid w:val="00224990"/>
    <w:rsid w:val="00224A07"/>
    <w:rsid w:val="00224B52"/>
    <w:rsid w:val="00224B8C"/>
    <w:rsid w:val="0022765D"/>
    <w:rsid w:val="00227A7D"/>
    <w:rsid w:val="00227EA3"/>
    <w:rsid w:val="002313D9"/>
    <w:rsid w:val="00232620"/>
    <w:rsid w:val="00232C56"/>
    <w:rsid w:val="0023346D"/>
    <w:rsid w:val="002340EE"/>
    <w:rsid w:val="002341FE"/>
    <w:rsid w:val="00234F21"/>
    <w:rsid w:val="0023566F"/>
    <w:rsid w:val="002357E8"/>
    <w:rsid w:val="00240590"/>
    <w:rsid w:val="00240CF2"/>
    <w:rsid w:val="0024198E"/>
    <w:rsid w:val="002423EF"/>
    <w:rsid w:val="0024255A"/>
    <w:rsid w:val="00242594"/>
    <w:rsid w:val="002429A1"/>
    <w:rsid w:val="00242F40"/>
    <w:rsid w:val="00243ECF"/>
    <w:rsid w:val="00244189"/>
    <w:rsid w:val="002445A0"/>
    <w:rsid w:val="0024500F"/>
    <w:rsid w:val="00245C8D"/>
    <w:rsid w:val="00246069"/>
    <w:rsid w:val="00246BB0"/>
    <w:rsid w:val="00247578"/>
    <w:rsid w:val="0025003A"/>
    <w:rsid w:val="0025025A"/>
    <w:rsid w:val="0025036B"/>
    <w:rsid w:val="002506C3"/>
    <w:rsid w:val="00251E74"/>
    <w:rsid w:val="002525A6"/>
    <w:rsid w:val="002529D6"/>
    <w:rsid w:val="00252A9D"/>
    <w:rsid w:val="00252FD5"/>
    <w:rsid w:val="00253896"/>
    <w:rsid w:val="00253E24"/>
    <w:rsid w:val="002551B2"/>
    <w:rsid w:val="00255E5B"/>
    <w:rsid w:val="00256723"/>
    <w:rsid w:val="0025685D"/>
    <w:rsid w:val="00256ED7"/>
    <w:rsid w:val="00256F73"/>
    <w:rsid w:val="0025734A"/>
    <w:rsid w:val="00257697"/>
    <w:rsid w:val="002576EC"/>
    <w:rsid w:val="00260222"/>
    <w:rsid w:val="00260FCD"/>
    <w:rsid w:val="002618A8"/>
    <w:rsid w:val="00261EB7"/>
    <w:rsid w:val="002622B1"/>
    <w:rsid w:val="0026258D"/>
    <w:rsid w:val="00262B09"/>
    <w:rsid w:val="002634DA"/>
    <w:rsid w:val="002637E4"/>
    <w:rsid w:val="002638BE"/>
    <w:rsid w:val="00264129"/>
    <w:rsid w:val="002654F7"/>
    <w:rsid w:val="00265AE8"/>
    <w:rsid w:val="002661AC"/>
    <w:rsid w:val="0026660F"/>
    <w:rsid w:val="00267D23"/>
    <w:rsid w:val="00267F54"/>
    <w:rsid w:val="0027202C"/>
    <w:rsid w:val="00272ACD"/>
    <w:rsid w:val="00272FE6"/>
    <w:rsid w:val="0027305B"/>
    <w:rsid w:val="0027317A"/>
    <w:rsid w:val="00273705"/>
    <w:rsid w:val="00274324"/>
    <w:rsid w:val="00275E2D"/>
    <w:rsid w:val="00277A63"/>
    <w:rsid w:val="00280970"/>
    <w:rsid w:val="002819E2"/>
    <w:rsid w:val="002822DB"/>
    <w:rsid w:val="00282F97"/>
    <w:rsid w:val="002832ED"/>
    <w:rsid w:val="0028460B"/>
    <w:rsid w:val="002854AA"/>
    <w:rsid w:val="00286015"/>
    <w:rsid w:val="0028622E"/>
    <w:rsid w:val="00286CEB"/>
    <w:rsid w:val="00287206"/>
    <w:rsid w:val="0028746F"/>
    <w:rsid w:val="00290110"/>
    <w:rsid w:val="00290829"/>
    <w:rsid w:val="002911C5"/>
    <w:rsid w:val="00291202"/>
    <w:rsid w:val="00291247"/>
    <w:rsid w:val="00291FE4"/>
    <w:rsid w:val="0029219F"/>
    <w:rsid w:val="00292DA9"/>
    <w:rsid w:val="002930ED"/>
    <w:rsid w:val="00295316"/>
    <w:rsid w:val="002954BE"/>
    <w:rsid w:val="00295533"/>
    <w:rsid w:val="00295658"/>
    <w:rsid w:val="00295BC6"/>
    <w:rsid w:val="00295FB7"/>
    <w:rsid w:val="0029643F"/>
    <w:rsid w:val="0029653E"/>
    <w:rsid w:val="00296FC7"/>
    <w:rsid w:val="002971BF"/>
    <w:rsid w:val="00297336"/>
    <w:rsid w:val="002974C6"/>
    <w:rsid w:val="00297CE8"/>
    <w:rsid w:val="002A029E"/>
    <w:rsid w:val="002A135E"/>
    <w:rsid w:val="002A1BCD"/>
    <w:rsid w:val="002A1E87"/>
    <w:rsid w:val="002A21B0"/>
    <w:rsid w:val="002A2AD7"/>
    <w:rsid w:val="002A34FE"/>
    <w:rsid w:val="002A3925"/>
    <w:rsid w:val="002A4304"/>
    <w:rsid w:val="002A5259"/>
    <w:rsid w:val="002A5675"/>
    <w:rsid w:val="002A5802"/>
    <w:rsid w:val="002A5BD5"/>
    <w:rsid w:val="002A5C71"/>
    <w:rsid w:val="002A5C72"/>
    <w:rsid w:val="002A5D3F"/>
    <w:rsid w:val="002A5ED3"/>
    <w:rsid w:val="002A5FD8"/>
    <w:rsid w:val="002A607F"/>
    <w:rsid w:val="002A61C3"/>
    <w:rsid w:val="002A6C1A"/>
    <w:rsid w:val="002A6D22"/>
    <w:rsid w:val="002A7419"/>
    <w:rsid w:val="002B020D"/>
    <w:rsid w:val="002B13CF"/>
    <w:rsid w:val="002B1559"/>
    <w:rsid w:val="002B162F"/>
    <w:rsid w:val="002B21DB"/>
    <w:rsid w:val="002B27F9"/>
    <w:rsid w:val="002B3EAA"/>
    <w:rsid w:val="002B5376"/>
    <w:rsid w:val="002B5C5B"/>
    <w:rsid w:val="002B5DBD"/>
    <w:rsid w:val="002B620E"/>
    <w:rsid w:val="002B63B6"/>
    <w:rsid w:val="002B71AA"/>
    <w:rsid w:val="002B75C3"/>
    <w:rsid w:val="002B77A1"/>
    <w:rsid w:val="002B7880"/>
    <w:rsid w:val="002C019A"/>
    <w:rsid w:val="002C0961"/>
    <w:rsid w:val="002C1BED"/>
    <w:rsid w:val="002C1FA0"/>
    <w:rsid w:val="002C28CF"/>
    <w:rsid w:val="002C3AD2"/>
    <w:rsid w:val="002C4D70"/>
    <w:rsid w:val="002C4E4C"/>
    <w:rsid w:val="002C557E"/>
    <w:rsid w:val="002C5EFF"/>
    <w:rsid w:val="002C6634"/>
    <w:rsid w:val="002C68AE"/>
    <w:rsid w:val="002C74B9"/>
    <w:rsid w:val="002D045E"/>
    <w:rsid w:val="002D0752"/>
    <w:rsid w:val="002D0865"/>
    <w:rsid w:val="002D193B"/>
    <w:rsid w:val="002D2490"/>
    <w:rsid w:val="002D334E"/>
    <w:rsid w:val="002D3734"/>
    <w:rsid w:val="002D3B1C"/>
    <w:rsid w:val="002D3E6E"/>
    <w:rsid w:val="002D4CCF"/>
    <w:rsid w:val="002D5BCA"/>
    <w:rsid w:val="002D6F86"/>
    <w:rsid w:val="002D778C"/>
    <w:rsid w:val="002D77EC"/>
    <w:rsid w:val="002D78CA"/>
    <w:rsid w:val="002D7B06"/>
    <w:rsid w:val="002E0745"/>
    <w:rsid w:val="002E1293"/>
    <w:rsid w:val="002E1F01"/>
    <w:rsid w:val="002E1FDE"/>
    <w:rsid w:val="002E26C8"/>
    <w:rsid w:val="002E28B7"/>
    <w:rsid w:val="002E401D"/>
    <w:rsid w:val="002E4C40"/>
    <w:rsid w:val="002E59BA"/>
    <w:rsid w:val="002E5CA7"/>
    <w:rsid w:val="002E5D99"/>
    <w:rsid w:val="002E5DE8"/>
    <w:rsid w:val="002E5F75"/>
    <w:rsid w:val="002E6BEE"/>
    <w:rsid w:val="002E7B2F"/>
    <w:rsid w:val="002F08E9"/>
    <w:rsid w:val="002F11E2"/>
    <w:rsid w:val="002F12BC"/>
    <w:rsid w:val="002F1C65"/>
    <w:rsid w:val="002F1D27"/>
    <w:rsid w:val="002F1F0E"/>
    <w:rsid w:val="002F235C"/>
    <w:rsid w:val="002F3B87"/>
    <w:rsid w:val="002F3F5E"/>
    <w:rsid w:val="002F4570"/>
    <w:rsid w:val="002F4FF9"/>
    <w:rsid w:val="002F5BD6"/>
    <w:rsid w:val="002F5D4D"/>
    <w:rsid w:val="002F62A0"/>
    <w:rsid w:val="002F64ED"/>
    <w:rsid w:val="002F6912"/>
    <w:rsid w:val="002F7545"/>
    <w:rsid w:val="002F79E0"/>
    <w:rsid w:val="00300678"/>
    <w:rsid w:val="003007BD"/>
    <w:rsid w:val="00300B74"/>
    <w:rsid w:val="0030161A"/>
    <w:rsid w:val="003019C6"/>
    <w:rsid w:val="003025B8"/>
    <w:rsid w:val="00302B5D"/>
    <w:rsid w:val="0030347F"/>
    <w:rsid w:val="003045AA"/>
    <w:rsid w:val="003046EC"/>
    <w:rsid w:val="00304E67"/>
    <w:rsid w:val="00304EA1"/>
    <w:rsid w:val="00306296"/>
    <w:rsid w:val="003065B9"/>
    <w:rsid w:val="00307469"/>
    <w:rsid w:val="00307793"/>
    <w:rsid w:val="00307894"/>
    <w:rsid w:val="00307F4E"/>
    <w:rsid w:val="00310890"/>
    <w:rsid w:val="00311081"/>
    <w:rsid w:val="0031225C"/>
    <w:rsid w:val="0031370F"/>
    <w:rsid w:val="00314644"/>
    <w:rsid w:val="00317437"/>
    <w:rsid w:val="003177EF"/>
    <w:rsid w:val="00317B2B"/>
    <w:rsid w:val="00317BE5"/>
    <w:rsid w:val="00320F5F"/>
    <w:rsid w:val="00321209"/>
    <w:rsid w:val="0032183C"/>
    <w:rsid w:val="00321DAC"/>
    <w:rsid w:val="0032255E"/>
    <w:rsid w:val="00322CF0"/>
    <w:rsid w:val="003231CC"/>
    <w:rsid w:val="0032383A"/>
    <w:rsid w:val="00323B4A"/>
    <w:rsid w:val="00323C4D"/>
    <w:rsid w:val="00324AD3"/>
    <w:rsid w:val="0032511B"/>
    <w:rsid w:val="003256DA"/>
    <w:rsid w:val="00325E05"/>
    <w:rsid w:val="00325EF0"/>
    <w:rsid w:val="00325F66"/>
    <w:rsid w:val="00326327"/>
    <w:rsid w:val="0032740C"/>
    <w:rsid w:val="0032751F"/>
    <w:rsid w:val="003276E5"/>
    <w:rsid w:val="00327776"/>
    <w:rsid w:val="00327968"/>
    <w:rsid w:val="003301B4"/>
    <w:rsid w:val="0033067B"/>
    <w:rsid w:val="003317AD"/>
    <w:rsid w:val="00333873"/>
    <w:rsid w:val="003340F6"/>
    <w:rsid w:val="00334FF4"/>
    <w:rsid w:val="003421E6"/>
    <w:rsid w:val="00343BAC"/>
    <w:rsid w:val="003445A2"/>
    <w:rsid w:val="003452C6"/>
    <w:rsid w:val="00346B6F"/>
    <w:rsid w:val="00347B94"/>
    <w:rsid w:val="00347D98"/>
    <w:rsid w:val="0035014C"/>
    <w:rsid w:val="003508F0"/>
    <w:rsid w:val="00350D3C"/>
    <w:rsid w:val="00351D0B"/>
    <w:rsid w:val="00351E31"/>
    <w:rsid w:val="003520DC"/>
    <w:rsid w:val="00352B8C"/>
    <w:rsid w:val="003557BC"/>
    <w:rsid w:val="00355864"/>
    <w:rsid w:val="00355EA9"/>
    <w:rsid w:val="00356031"/>
    <w:rsid w:val="00356BD6"/>
    <w:rsid w:val="00357360"/>
    <w:rsid w:val="0036048C"/>
    <w:rsid w:val="003608A6"/>
    <w:rsid w:val="0036119D"/>
    <w:rsid w:val="003613AA"/>
    <w:rsid w:val="00361DD4"/>
    <w:rsid w:val="0036242A"/>
    <w:rsid w:val="0036347F"/>
    <w:rsid w:val="00363DEA"/>
    <w:rsid w:val="00363FCE"/>
    <w:rsid w:val="003646BE"/>
    <w:rsid w:val="00364BA9"/>
    <w:rsid w:val="003651E8"/>
    <w:rsid w:val="00365494"/>
    <w:rsid w:val="00365C17"/>
    <w:rsid w:val="00366091"/>
    <w:rsid w:val="003663BE"/>
    <w:rsid w:val="003664D2"/>
    <w:rsid w:val="003664E6"/>
    <w:rsid w:val="00367E34"/>
    <w:rsid w:val="0037208E"/>
    <w:rsid w:val="003723FE"/>
    <w:rsid w:val="003736F2"/>
    <w:rsid w:val="00375D66"/>
    <w:rsid w:val="00375E4D"/>
    <w:rsid w:val="0037753A"/>
    <w:rsid w:val="00377952"/>
    <w:rsid w:val="00380442"/>
    <w:rsid w:val="003819B0"/>
    <w:rsid w:val="00381D7F"/>
    <w:rsid w:val="00382C7A"/>
    <w:rsid w:val="00382FD8"/>
    <w:rsid w:val="003835BA"/>
    <w:rsid w:val="003846BB"/>
    <w:rsid w:val="00384849"/>
    <w:rsid w:val="0038492E"/>
    <w:rsid w:val="00384CAD"/>
    <w:rsid w:val="003857F0"/>
    <w:rsid w:val="00385C6A"/>
    <w:rsid w:val="00385D01"/>
    <w:rsid w:val="00385DBC"/>
    <w:rsid w:val="003866D6"/>
    <w:rsid w:val="00386797"/>
    <w:rsid w:val="003869AC"/>
    <w:rsid w:val="00387BE0"/>
    <w:rsid w:val="00390237"/>
    <w:rsid w:val="00390489"/>
    <w:rsid w:val="00391281"/>
    <w:rsid w:val="00391672"/>
    <w:rsid w:val="003916D8"/>
    <w:rsid w:val="0039179D"/>
    <w:rsid w:val="003918A0"/>
    <w:rsid w:val="00391A5F"/>
    <w:rsid w:val="00391DB0"/>
    <w:rsid w:val="003921E4"/>
    <w:rsid w:val="00392484"/>
    <w:rsid w:val="003924B5"/>
    <w:rsid w:val="00392636"/>
    <w:rsid w:val="00392983"/>
    <w:rsid w:val="00392F71"/>
    <w:rsid w:val="0039320B"/>
    <w:rsid w:val="00393F0E"/>
    <w:rsid w:val="00393F86"/>
    <w:rsid w:val="00394049"/>
    <w:rsid w:val="003942B4"/>
    <w:rsid w:val="003950BB"/>
    <w:rsid w:val="003958AF"/>
    <w:rsid w:val="00397AFA"/>
    <w:rsid w:val="003A06B7"/>
    <w:rsid w:val="003A0A0A"/>
    <w:rsid w:val="003A0C0A"/>
    <w:rsid w:val="003A174D"/>
    <w:rsid w:val="003A188A"/>
    <w:rsid w:val="003A2388"/>
    <w:rsid w:val="003A2B05"/>
    <w:rsid w:val="003A2CB8"/>
    <w:rsid w:val="003A2D93"/>
    <w:rsid w:val="003A33DD"/>
    <w:rsid w:val="003A3D68"/>
    <w:rsid w:val="003A4276"/>
    <w:rsid w:val="003A4E17"/>
    <w:rsid w:val="003A649C"/>
    <w:rsid w:val="003A66D7"/>
    <w:rsid w:val="003A716D"/>
    <w:rsid w:val="003A7A52"/>
    <w:rsid w:val="003B0489"/>
    <w:rsid w:val="003B06DD"/>
    <w:rsid w:val="003B0C1D"/>
    <w:rsid w:val="003B0CE4"/>
    <w:rsid w:val="003B11DC"/>
    <w:rsid w:val="003B179D"/>
    <w:rsid w:val="003B1807"/>
    <w:rsid w:val="003B235E"/>
    <w:rsid w:val="003B25F3"/>
    <w:rsid w:val="003B2633"/>
    <w:rsid w:val="003B2687"/>
    <w:rsid w:val="003B2A11"/>
    <w:rsid w:val="003B2A8A"/>
    <w:rsid w:val="003B2F88"/>
    <w:rsid w:val="003B3388"/>
    <w:rsid w:val="003B3767"/>
    <w:rsid w:val="003B40FD"/>
    <w:rsid w:val="003B44DD"/>
    <w:rsid w:val="003B47E9"/>
    <w:rsid w:val="003B4B99"/>
    <w:rsid w:val="003B64BA"/>
    <w:rsid w:val="003B68B1"/>
    <w:rsid w:val="003B6AAB"/>
    <w:rsid w:val="003B6B34"/>
    <w:rsid w:val="003B6CAC"/>
    <w:rsid w:val="003B6F9B"/>
    <w:rsid w:val="003B7928"/>
    <w:rsid w:val="003B7979"/>
    <w:rsid w:val="003B7F31"/>
    <w:rsid w:val="003C08C0"/>
    <w:rsid w:val="003C10EF"/>
    <w:rsid w:val="003C1653"/>
    <w:rsid w:val="003C1C74"/>
    <w:rsid w:val="003C1F42"/>
    <w:rsid w:val="003C2C6D"/>
    <w:rsid w:val="003C2D3A"/>
    <w:rsid w:val="003C3EE9"/>
    <w:rsid w:val="003C474B"/>
    <w:rsid w:val="003C6BA7"/>
    <w:rsid w:val="003C7F45"/>
    <w:rsid w:val="003C7FEC"/>
    <w:rsid w:val="003D0D96"/>
    <w:rsid w:val="003D107C"/>
    <w:rsid w:val="003D137E"/>
    <w:rsid w:val="003D1857"/>
    <w:rsid w:val="003D2EA9"/>
    <w:rsid w:val="003D2F43"/>
    <w:rsid w:val="003D38D0"/>
    <w:rsid w:val="003D3CB1"/>
    <w:rsid w:val="003D440C"/>
    <w:rsid w:val="003D4480"/>
    <w:rsid w:val="003D4957"/>
    <w:rsid w:val="003D4E8B"/>
    <w:rsid w:val="003D5578"/>
    <w:rsid w:val="003D5B75"/>
    <w:rsid w:val="003D6823"/>
    <w:rsid w:val="003D77D4"/>
    <w:rsid w:val="003D798D"/>
    <w:rsid w:val="003D7F20"/>
    <w:rsid w:val="003E0572"/>
    <w:rsid w:val="003E08A9"/>
    <w:rsid w:val="003E08EC"/>
    <w:rsid w:val="003E133F"/>
    <w:rsid w:val="003E1685"/>
    <w:rsid w:val="003E16CE"/>
    <w:rsid w:val="003E196E"/>
    <w:rsid w:val="003E1C79"/>
    <w:rsid w:val="003E1D43"/>
    <w:rsid w:val="003E2BCA"/>
    <w:rsid w:val="003E2D6F"/>
    <w:rsid w:val="003E3A24"/>
    <w:rsid w:val="003E407F"/>
    <w:rsid w:val="003E41A8"/>
    <w:rsid w:val="003E4FC2"/>
    <w:rsid w:val="003E51EB"/>
    <w:rsid w:val="003E588B"/>
    <w:rsid w:val="003E65C1"/>
    <w:rsid w:val="003E6A68"/>
    <w:rsid w:val="003E6C79"/>
    <w:rsid w:val="003E6D07"/>
    <w:rsid w:val="003E6D89"/>
    <w:rsid w:val="003E74A2"/>
    <w:rsid w:val="003E761D"/>
    <w:rsid w:val="003E7F0B"/>
    <w:rsid w:val="003F0245"/>
    <w:rsid w:val="003F068F"/>
    <w:rsid w:val="003F0CAA"/>
    <w:rsid w:val="003F1F3C"/>
    <w:rsid w:val="003F25A5"/>
    <w:rsid w:val="003F3C07"/>
    <w:rsid w:val="003F3D63"/>
    <w:rsid w:val="003F57F9"/>
    <w:rsid w:val="003F5F9A"/>
    <w:rsid w:val="003F62E3"/>
    <w:rsid w:val="003F75AE"/>
    <w:rsid w:val="003F7E67"/>
    <w:rsid w:val="0040034A"/>
    <w:rsid w:val="004003BF"/>
    <w:rsid w:val="00400D47"/>
    <w:rsid w:val="0040351E"/>
    <w:rsid w:val="00403A1A"/>
    <w:rsid w:val="00404046"/>
    <w:rsid w:val="0040460A"/>
    <w:rsid w:val="004046CE"/>
    <w:rsid w:val="00404C46"/>
    <w:rsid w:val="0040542A"/>
    <w:rsid w:val="0040614E"/>
    <w:rsid w:val="00406D83"/>
    <w:rsid w:val="00410D2E"/>
    <w:rsid w:val="004115B6"/>
    <w:rsid w:val="00412976"/>
    <w:rsid w:val="00414372"/>
    <w:rsid w:val="00414681"/>
    <w:rsid w:val="00414CA0"/>
    <w:rsid w:val="00414FB3"/>
    <w:rsid w:val="0041582E"/>
    <w:rsid w:val="00417042"/>
    <w:rsid w:val="0041761D"/>
    <w:rsid w:val="00417782"/>
    <w:rsid w:val="00417A14"/>
    <w:rsid w:val="00417B54"/>
    <w:rsid w:val="00417D0F"/>
    <w:rsid w:val="00417E17"/>
    <w:rsid w:val="0042070F"/>
    <w:rsid w:val="004207A5"/>
    <w:rsid w:val="00420BDC"/>
    <w:rsid w:val="00421342"/>
    <w:rsid w:val="00422068"/>
    <w:rsid w:val="004222FD"/>
    <w:rsid w:val="00423337"/>
    <w:rsid w:val="0042335F"/>
    <w:rsid w:val="00423632"/>
    <w:rsid w:val="004242AB"/>
    <w:rsid w:val="0042510A"/>
    <w:rsid w:val="00425535"/>
    <w:rsid w:val="0042637A"/>
    <w:rsid w:val="00426943"/>
    <w:rsid w:val="004269D2"/>
    <w:rsid w:val="00426ABF"/>
    <w:rsid w:val="004274CE"/>
    <w:rsid w:val="00427643"/>
    <w:rsid w:val="00430257"/>
    <w:rsid w:val="00430355"/>
    <w:rsid w:val="00430533"/>
    <w:rsid w:val="00431742"/>
    <w:rsid w:val="00431826"/>
    <w:rsid w:val="00431D08"/>
    <w:rsid w:val="004326DA"/>
    <w:rsid w:val="0043360B"/>
    <w:rsid w:val="004338DC"/>
    <w:rsid w:val="00433ADB"/>
    <w:rsid w:val="00434D81"/>
    <w:rsid w:val="0043508A"/>
    <w:rsid w:val="00435090"/>
    <w:rsid w:val="00435281"/>
    <w:rsid w:val="0043550A"/>
    <w:rsid w:val="00435BE8"/>
    <w:rsid w:val="00435FBC"/>
    <w:rsid w:val="00436129"/>
    <w:rsid w:val="00436333"/>
    <w:rsid w:val="004364A5"/>
    <w:rsid w:val="0043665A"/>
    <w:rsid w:val="0043722E"/>
    <w:rsid w:val="00440250"/>
    <w:rsid w:val="004405C6"/>
    <w:rsid w:val="00440A13"/>
    <w:rsid w:val="00440B09"/>
    <w:rsid w:val="00440FE6"/>
    <w:rsid w:val="0044233D"/>
    <w:rsid w:val="00442A30"/>
    <w:rsid w:val="00442C26"/>
    <w:rsid w:val="00442E63"/>
    <w:rsid w:val="00443E63"/>
    <w:rsid w:val="00443F80"/>
    <w:rsid w:val="00445E9E"/>
    <w:rsid w:val="00446443"/>
    <w:rsid w:val="00446875"/>
    <w:rsid w:val="00446B99"/>
    <w:rsid w:val="004470EB"/>
    <w:rsid w:val="00447DEF"/>
    <w:rsid w:val="004501DB"/>
    <w:rsid w:val="004504CF"/>
    <w:rsid w:val="0045098C"/>
    <w:rsid w:val="00451902"/>
    <w:rsid w:val="00451B6A"/>
    <w:rsid w:val="00452B6F"/>
    <w:rsid w:val="00452B95"/>
    <w:rsid w:val="00452DA2"/>
    <w:rsid w:val="00453D8B"/>
    <w:rsid w:val="004545E1"/>
    <w:rsid w:val="00454808"/>
    <w:rsid w:val="004549CC"/>
    <w:rsid w:val="0045505E"/>
    <w:rsid w:val="00456FD0"/>
    <w:rsid w:val="00457F70"/>
    <w:rsid w:val="004603BD"/>
    <w:rsid w:val="004607EF"/>
    <w:rsid w:val="00460CC5"/>
    <w:rsid w:val="00460EC4"/>
    <w:rsid w:val="004615C7"/>
    <w:rsid w:val="00462340"/>
    <w:rsid w:val="00462F50"/>
    <w:rsid w:val="00463604"/>
    <w:rsid w:val="00463A9D"/>
    <w:rsid w:val="004647C5"/>
    <w:rsid w:val="00464B6F"/>
    <w:rsid w:val="00465086"/>
    <w:rsid w:val="0046549B"/>
    <w:rsid w:val="00466786"/>
    <w:rsid w:val="00466F62"/>
    <w:rsid w:val="00467A75"/>
    <w:rsid w:val="00467DD2"/>
    <w:rsid w:val="004714CC"/>
    <w:rsid w:val="00471BF5"/>
    <w:rsid w:val="004727DA"/>
    <w:rsid w:val="004744FC"/>
    <w:rsid w:val="0047459C"/>
    <w:rsid w:val="00474696"/>
    <w:rsid w:val="00475391"/>
    <w:rsid w:val="004759DD"/>
    <w:rsid w:val="00475D1D"/>
    <w:rsid w:val="004775FF"/>
    <w:rsid w:val="00477BF0"/>
    <w:rsid w:val="00481330"/>
    <w:rsid w:val="004816C0"/>
    <w:rsid w:val="0048249D"/>
    <w:rsid w:val="00482613"/>
    <w:rsid w:val="0048374B"/>
    <w:rsid w:val="00483915"/>
    <w:rsid w:val="00483961"/>
    <w:rsid w:val="00483F51"/>
    <w:rsid w:val="00484689"/>
    <w:rsid w:val="004862F6"/>
    <w:rsid w:val="004864EE"/>
    <w:rsid w:val="00487573"/>
    <w:rsid w:val="00487E2E"/>
    <w:rsid w:val="0049081D"/>
    <w:rsid w:val="004918EE"/>
    <w:rsid w:val="00491D6A"/>
    <w:rsid w:val="00492723"/>
    <w:rsid w:val="00493CC0"/>
    <w:rsid w:val="00494E3E"/>
    <w:rsid w:val="0049519F"/>
    <w:rsid w:val="004956D7"/>
    <w:rsid w:val="00495B44"/>
    <w:rsid w:val="00495C1C"/>
    <w:rsid w:val="00495D22"/>
    <w:rsid w:val="00495F71"/>
    <w:rsid w:val="00495F9C"/>
    <w:rsid w:val="0049612C"/>
    <w:rsid w:val="0049615B"/>
    <w:rsid w:val="0049637D"/>
    <w:rsid w:val="0049655C"/>
    <w:rsid w:val="00496E06"/>
    <w:rsid w:val="00497412"/>
    <w:rsid w:val="00497C9A"/>
    <w:rsid w:val="00497DE6"/>
    <w:rsid w:val="004A0ED2"/>
    <w:rsid w:val="004A10FE"/>
    <w:rsid w:val="004A156D"/>
    <w:rsid w:val="004A1EC6"/>
    <w:rsid w:val="004A2034"/>
    <w:rsid w:val="004A2199"/>
    <w:rsid w:val="004A2585"/>
    <w:rsid w:val="004A3D12"/>
    <w:rsid w:val="004A3D48"/>
    <w:rsid w:val="004A3DFC"/>
    <w:rsid w:val="004A40B8"/>
    <w:rsid w:val="004A5599"/>
    <w:rsid w:val="004A6848"/>
    <w:rsid w:val="004B08C6"/>
    <w:rsid w:val="004B08DA"/>
    <w:rsid w:val="004B1989"/>
    <w:rsid w:val="004B1F21"/>
    <w:rsid w:val="004B24C2"/>
    <w:rsid w:val="004B351B"/>
    <w:rsid w:val="004B3CB8"/>
    <w:rsid w:val="004B4191"/>
    <w:rsid w:val="004B5B28"/>
    <w:rsid w:val="004B5BFA"/>
    <w:rsid w:val="004B5D07"/>
    <w:rsid w:val="004B6BF0"/>
    <w:rsid w:val="004B758B"/>
    <w:rsid w:val="004B78F0"/>
    <w:rsid w:val="004B7E98"/>
    <w:rsid w:val="004B7EC2"/>
    <w:rsid w:val="004B7F1E"/>
    <w:rsid w:val="004C001C"/>
    <w:rsid w:val="004C03AD"/>
    <w:rsid w:val="004C1563"/>
    <w:rsid w:val="004C17BE"/>
    <w:rsid w:val="004C1BD4"/>
    <w:rsid w:val="004C22A5"/>
    <w:rsid w:val="004C310F"/>
    <w:rsid w:val="004C3E88"/>
    <w:rsid w:val="004C42C8"/>
    <w:rsid w:val="004C4FB2"/>
    <w:rsid w:val="004C544D"/>
    <w:rsid w:val="004C56BB"/>
    <w:rsid w:val="004C60BD"/>
    <w:rsid w:val="004C60E9"/>
    <w:rsid w:val="004C6CE8"/>
    <w:rsid w:val="004C7128"/>
    <w:rsid w:val="004D080B"/>
    <w:rsid w:val="004D0C41"/>
    <w:rsid w:val="004D199D"/>
    <w:rsid w:val="004D1E13"/>
    <w:rsid w:val="004D3B37"/>
    <w:rsid w:val="004D3BB1"/>
    <w:rsid w:val="004D3C60"/>
    <w:rsid w:val="004D3D64"/>
    <w:rsid w:val="004D4792"/>
    <w:rsid w:val="004D4BEC"/>
    <w:rsid w:val="004D5236"/>
    <w:rsid w:val="004D5600"/>
    <w:rsid w:val="004D5F40"/>
    <w:rsid w:val="004D6C34"/>
    <w:rsid w:val="004D747F"/>
    <w:rsid w:val="004D7C8E"/>
    <w:rsid w:val="004D7E14"/>
    <w:rsid w:val="004E08E1"/>
    <w:rsid w:val="004E1218"/>
    <w:rsid w:val="004E1F4D"/>
    <w:rsid w:val="004E202A"/>
    <w:rsid w:val="004E2688"/>
    <w:rsid w:val="004E2ACE"/>
    <w:rsid w:val="004E2CC7"/>
    <w:rsid w:val="004E37F6"/>
    <w:rsid w:val="004E389C"/>
    <w:rsid w:val="004E3CFE"/>
    <w:rsid w:val="004E3E60"/>
    <w:rsid w:val="004E47E8"/>
    <w:rsid w:val="004E4A96"/>
    <w:rsid w:val="004E4E4B"/>
    <w:rsid w:val="004E5A18"/>
    <w:rsid w:val="004E6270"/>
    <w:rsid w:val="004E6E96"/>
    <w:rsid w:val="004E71C8"/>
    <w:rsid w:val="004E7ACB"/>
    <w:rsid w:val="004E7F10"/>
    <w:rsid w:val="004F088F"/>
    <w:rsid w:val="004F0BB7"/>
    <w:rsid w:val="004F152C"/>
    <w:rsid w:val="004F2478"/>
    <w:rsid w:val="004F30AB"/>
    <w:rsid w:val="004F37A6"/>
    <w:rsid w:val="004F502A"/>
    <w:rsid w:val="004F64A7"/>
    <w:rsid w:val="004F6646"/>
    <w:rsid w:val="004F707E"/>
    <w:rsid w:val="004F739A"/>
    <w:rsid w:val="004F7468"/>
    <w:rsid w:val="004F7683"/>
    <w:rsid w:val="004F7823"/>
    <w:rsid w:val="00501185"/>
    <w:rsid w:val="005018E7"/>
    <w:rsid w:val="00501DEA"/>
    <w:rsid w:val="00502120"/>
    <w:rsid w:val="00502124"/>
    <w:rsid w:val="00502176"/>
    <w:rsid w:val="00502322"/>
    <w:rsid w:val="005025FF"/>
    <w:rsid w:val="00502D6E"/>
    <w:rsid w:val="005032D4"/>
    <w:rsid w:val="00503A20"/>
    <w:rsid w:val="00503CC3"/>
    <w:rsid w:val="00503DB8"/>
    <w:rsid w:val="005048F6"/>
    <w:rsid w:val="0050553C"/>
    <w:rsid w:val="00505F66"/>
    <w:rsid w:val="0050667E"/>
    <w:rsid w:val="00506D98"/>
    <w:rsid w:val="00506E43"/>
    <w:rsid w:val="00507520"/>
    <w:rsid w:val="0050777F"/>
    <w:rsid w:val="00507FE1"/>
    <w:rsid w:val="005103F1"/>
    <w:rsid w:val="0051061C"/>
    <w:rsid w:val="005106A9"/>
    <w:rsid w:val="00511994"/>
    <w:rsid w:val="0051445E"/>
    <w:rsid w:val="005148D9"/>
    <w:rsid w:val="00515288"/>
    <w:rsid w:val="005157C1"/>
    <w:rsid w:val="00516026"/>
    <w:rsid w:val="00516ECB"/>
    <w:rsid w:val="00516EF3"/>
    <w:rsid w:val="00516F3E"/>
    <w:rsid w:val="0051733B"/>
    <w:rsid w:val="005206ED"/>
    <w:rsid w:val="00520826"/>
    <w:rsid w:val="00520991"/>
    <w:rsid w:val="00520C4F"/>
    <w:rsid w:val="00520D65"/>
    <w:rsid w:val="00520E3D"/>
    <w:rsid w:val="00520F06"/>
    <w:rsid w:val="0052220B"/>
    <w:rsid w:val="0052254E"/>
    <w:rsid w:val="00522F20"/>
    <w:rsid w:val="00523369"/>
    <w:rsid w:val="00523443"/>
    <w:rsid w:val="00523531"/>
    <w:rsid w:val="005242AE"/>
    <w:rsid w:val="005248C7"/>
    <w:rsid w:val="00524993"/>
    <w:rsid w:val="00524E0F"/>
    <w:rsid w:val="00524E53"/>
    <w:rsid w:val="0052506A"/>
    <w:rsid w:val="00526860"/>
    <w:rsid w:val="00526EE8"/>
    <w:rsid w:val="00526F28"/>
    <w:rsid w:val="0052712E"/>
    <w:rsid w:val="00530397"/>
    <w:rsid w:val="00530580"/>
    <w:rsid w:val="0053097C"/>
    <w:rsid w:val="005313B0"/>
    <w:rsid w:val="00531708"/>
    <w:rsid w:val="00531741"/>
    <w:rsid w:val="00531D04"/>
    <w:rsid w:val="0053279C"/>
    <w:rsid w:val="005337AD"/>
    <w:rsid w:val="00533B7B"/>
    <w:rsid w:val="00534103"/>
    <w:rsid w:val="005343FE"/>
    <w:rsid w:val="005345CA"/>
    <w:rsid w:val="00534EB3"/>
    <w:rsid w:val="00536642"/>
    <w:rsid w:val="00537880"/>
    <w:rsid w:val="0054031E"/>
    <w:rsid w:val="00540F5B"/>
    <w:rsid w:val="00541F75"/>
    <w:rsid w:val="005421EB"/>
    <w:rsid w:val="0054369E"/>
    <w:rsid w:val="00543991"/>
    <w:rsid w:val="00543A6B"/>
    <w:rsid w:val="00544638"/>
    <w:rsid w:val="005448FD"/>
    <w:rsid w:val="00544DC5"/>
    <w:rsid w:val="00544F96"/>
    <w:rsid w:val="0054506E"/>
    <w:rsid w:val="00545250"/>
    <w:rsid w:val="005453BB"/>
    <w:rsid w:val="0054574C"/>
    <w:rsid w:val="00545937"/>
    <w:rsid w:val="005475E2"/>
    <w:rsid w:val="00547A80"/>
    <w:rsid w:val="005505DD"/>
    <w:rsid w:val="00550865"/>
    <w:rsid w:val="005508C9"/>
    <w:rsid w:val="005510F8"/>
    <w:rsid w:val="00551624"/>
    <w:rsid w:val="00551767"/>
    <w:rsid w:val="005526E8"/>
    <w:rsid w:val="00552878"/>
    <w:rsid w:val="00552A97"/>
    <w:rsid w:val="00554681"/>
    <w:rsid w:val="00554796"/>
    <w:rsid w:val="00554BCD"/>
    <w:rsid w:val="00554D11"/>
    <w:rsid w:val="0055590D"/>
    <w:rsid w:val="00555B44"/>
    <w:rsid w:val="0055609B"/>
    <w:rsid w:val="00556238"/>
    <w:rsid w:val="00556668"/>
    <w:rsid w:val="00556B7D"/>
    <w:rsid w:val="00556CF6"/>
    <w:rsid w:val="005579DD"/>
    <w:rsid w:val="00557A50"/>
    <w:rsid w:val="00560588"/>
    <w:rsid w:val="00561929"/>
    <w:rsid w:val="00562242"/>
    <w:rsid w:val="0056230C"/>
    <w:rsid w:val="00562793"/>
    <w:rsid w:val="005635EA"/>
    <w:rsid w:val="00563BD4"/>
    <w:rsid w:val="00563CF2"/>
    <w:rsid w:val="00564AC0"/>
    <w:rsid w:val="005658DC"/>
    <w:rsid w:val="0056596F"/>
    <w:rsid w:val="0056597B"/>
    <w:rsid w:val="00565B30"/>
    <w:rsid w:val="0056639B"/>
    <w:rsid w:val="00567B83"/>
    <w:rsid w:val="005707DB"/>
    <w:rsid w:val="005708E4"/>
    <w:rsid w:val="005712DB"/>
    <w:rsid w:val="00571486"/>
    <w:rsid w:val="00571A66"/>
    <w:rsid w:val="00572120"/>
    <w:rsid w:val="005721A7"/>
    <w:rsid w:val="00572B92"/>
    <w:rsid w:val="00572FEC"/>
    <w:rsid w:val="00573EC3"/>
    <w:rsid w:val="00573F8F"/>
    <w:rsid w:val="00574731"/>
    <w:rsid w:val="00574F98"/>
    <w:rsid w:val="005754DE"/>
    <w:rsid w:val="00576500"/>
    <w:rsid w:val="00576B85"/>
    <w:rsid w:val="0057721F"/>
    <w:rsid w:val="005774EA"/>
    <w:rsid w:val="005775D8"/>
    <w:rsid w:val="00577905"/>
    <w:rsid w:val="00577918"/>
    <w:rsid w:val="005808FC"/>
    <w:rsid w:val="0058170D"/>
    <w:rsid w:val="00581864"/>
    <w:rsid w:val="00581CCA"/>
    <w:rsid w:val="00581F7C"/>
    <w:rsid w:val="005820F6"/>
    <w:rsid w:val="00582284"/>
    <w:rsid w:val="00583175"/>
    <w:rsid w:val="005832C9"/>
    <w:rsid w:val="0058443D"/>
    <w:rsid w:val="0058457E"/>
    <w:rsid w:val="0058497E"/>
    <w:rsid w:val="00584D30"/>
    <w:rsid w:val="00584FCF"/>
    <w:rsid w:val="005850FC"/>
    <w:rsid w:val="0058585D"/>
    <w:rsid w:val="00586864"/>
    <w:rsid w:val="00586DDA"/>
    <w:rsid w:val="00586FF2"/>
    <w:rsid w:val="00587275"/>
    <w:rsid w:val="005878C5"/>
    <w:rsid w:val="00591872"/>
    <w:rsid w:val="00592A0C"/>
    <w:rsid w:val="00592E6B"/>
    <w:rsid w:val="00593B11"/>
    <w:rsid w:val="00593D89"/>
    <w:rsid w:val="005942C7"/>
    <w:rsid w:val="0059461D"/>
    <w:rsid w:val="005967F1"/>
    <w:rsid w:val="00597165"/>
    <w:rsid w:val="005971F1"/>
    <w:rsid w:val="005976F7"/>
    <w:rsid w:val="005979F7"/>
    <w:rsid w:val="00597BDA"/>
    <w:rsid w:val="005A0D4A"/>
    <w:rsid w:val="005A1232"/>
    <w:rsid w:val="005A143F"/>
    <w:rsid w:val="005A21FD"/>
    <w:rsid w:val="005A2D47"/>
    <w:rsid w:val="005A35F8"/>
    <w:rsid w:val="005A3958"/>
    <w:rsid w:val="005A3F8E"/>
    <w:rsid w:val="005A4228"/>
    <w:rsid w:val="005A4378"/>
    <w:rsid w:val="005A468C"/>
    <w:rsid w:val="005A4F01"/>
    <w:rsid w:val="005A535F"/>
    <w:rsid w:val="005A53D0"/>
    <w:rsid w:val="005A5580"/>
    <w:rsid w:val="005A55D3"/>
    <w:rsid w:val="005A59FA"/>
    <w:rsid w:val="005A5F0B"/>
    <w:rsid w:val="005A6D74"/>
    <w:rsid w:val="005B00AF"/>
    <w:rsid w:val="005B0E0A"/>
    <w:rsid w:val="005B10F1"/>
    <w:rsid w:val="005B11E8"/>
    <w:rsid w:val="005B14E0"/>
    <w:rsid w:val="005B1723"/>
    <w:rsid w:val="005B1789"/>
    <w:rsid w:val="005B1FC8"/>
    <w:rsid w:val="005B290F"/>
    <w:rsid w:val="005B3298"/>
    <w:rsid w:val="005B3731"/>
    <w:rsid w:val="005B3835"/>
    <w:rsid w:val="005B3C5A"/>
    <w:rsid w:val="005B4EB7"/>
    <w:rsid w:val="005B5004"/>
    <w:rsid w:val="005B504A"/>
    <w:rsid w:val="005B5214"/>
    <w:rsid w:val="005B5298"/>
    <w:rsid w:val="005B5DCE"/>
    <w:rsid w:val="005B5E4F"/>
    <w:rsid w:val="005B6C7A"/>
    <w:rsid w:val="005B71B0"/>
    <w:rsid w:val="005B7BE1"/>
    <w:rsid w:val="005B7C39"/>
    <w:rsid w:val="005B7CFB"/>
    <w:rsid w:val="005C0887"/>
    <w:rsid w:val="005C0A26"/>
    <w:rsid w:val="005C2124"/>
    <w:rsid w:val="005C3A8B"/>
    <w:rsid w:val="005C46B7"/>
    <w:rsid w:val="005C58BA"/>
    <w:rsid w:val="005C59DB"/>
    <w:rsid w:val="005C5A19"/>
    <w:rsid w:val="005C5F90"/>
    <w:rsid w:val="005C7138"/>
    <w:rsid w:val="005C759D"/>
    <w:rsid w:val="005C7BE9"/>
    <w:rsid w:val="005D0EC3"/>
    <w:rsid w:val="005D11DD"/>
    <w:rsid w:val="005D1575"/>
    <w:rsid w:val="005D2C5A"/>
    <w:rsid w:val="005D2FBA"/>
    <w:rsid w:val="005D35D2"/>
    <w:rsid w:val="005D36D3"/>
    <w:rsid w:val="005D3AB2"/>
    <w:rsid w:val="005D3DAA"/>
    <w:rsid w:val="005D3DFF"/>
    <w:rsid w:val="005D4884"/>
    <w:rsid w:val="005D749A"/>
    <w:rsid w:val="005D7B64"/>
    <w:rsid w:val="005D7CD8"/>
    <w:rsid w:val="005E0688"/>
    <w:rsid w:val="005E06E1"/>
    <w:rsid w:val="005E1164"/>
    <w:rsid w:val="005E21BB"/>
    <w:rsid w:val="005E2727"/>
    <w:rsid w:val="005E3525"/>
    <w:rsid w:val="005E39CF"/>
    <w:rsid w:val="005E4410"/>
    <w:rsid w:val="005E4C2A"/>
    <w:rsid w:val="005E512B"/>
    <w:rsid w:val="005E6273"/>
    <w:rsid w:val="005E6594"/>
    <w:rsid w:val="005E6A96"/>
    <w:rsid w:val="005E6D60"/>
    <w:rsid w:val="005E70A2"/>
    <w:rsid w:val="005E7264"/>
    <w:rsid w:val="005E7ABB"/>
    <w:rsid w:val="005E7F28"/>
    <w:rsid w:val="005F009F"/>
    <w:rsid w:val="005F00A7"/>
    <w:rsid w:val="005F025D"/>
    <w:rsid w:val="005F0DBE"/>
    <w:rsid w:val="005F108D"/>
    <w:rsid w:val="005F1AE9"/>
    <w:rsid w:val="005F2787"/>
    <w:rsid w:val="005F3583"/>
    <w:rsid w:val="005F4E98"/>
    <w:rsid w:val="005F5144"/>
    <w:rsid w:val="005F539F"/>
    <w:rsid w:val="005F6AC4"/>
    <w:rsid w:val="005F6AF1"/>
    <w:rsid w:val="005F746F"/>
    <w:rsid w:val="0060119E"/>
    <w:rsid w:val="00601F16"/>
    <w:rsid w:val="00602631"/>
    <w:rsid w:val="006026A0"/>
    <w:rsid w:val="00602D35"/>
    <w:rsid w:val="00603389"/>
    <w:rsid w:val="0060486F"/>
    <w:rsid w:val="006063B2"/>
    <w:rsid w:val="006070DC"/>
    <w:rsid w:val="00607EC6"/>
    <w:rsid w:val="00610D83"/>
    <w:rsid w:val="00611181"/>
    <w:rsid w:val="006113E5"/>
    <w:rsid w:val="00611FAF"/>
    <w:rsid w:val="0061279A"/>
    <w:rsid w:val="00613A8D"/>
    <w:rsid w:val="00613F59"/>
    <w:rsid w:val="00614489"/>
    <w:rsid w:val="006146B4"/>
    <w:rsid w:val="00614AAB"/>
    <w:rsid w:val="00614CF1"/>
    <w:rsid w:val="006151B0"/>
    <w:rsid w:val="00615BE4"/>
    <w:rsid w:val="00616498"/>
    <w:rsid w:val="006165E2"/>
    <w:rsid w:val="00620081"/>
    <w:rsid w:val="0062086D"/>
    <w:rsid w:val="00621821"/>
    <w:rsid w:val="00622D8B"/>
    <w:rsid w:val="00623033"/>
    <w:rsid w:val="006236A8"/>
    <w:rsid w:val="006236C1"/>
    <w:rsid w:val="006239F5"/>
    <w:rsid w:val="00623AFE"/>
    <w:rsid w:val="00624003"/>
    <w:rsid w:val="0062421B"/>
    <w:rsid w:val="00624F68"/>
    <w:rsid w:val="00626658"/>
    <w:rsid w:val="0062738B"/>
    <w:rsid w:val="006276E4"/>
    <w:rsid w:val="00630179"/>
    <w:rsid w:val="006303FC"/>
    <w:rsid w:val="00630496"/>
    <w:rsid w:val="006308DB"/>
    <w:rsid w:val="00631671"/>
    <w:rsid w:val="006320F5"/>
    <w:rsid w:val="00632C00"/>
    <w:rsid w:val="00633D35"/>
    <w:rsid w:val="00634167"/>
    <w:rsid w:val="0063443E"/>
    <w:rsid w:val="0063453A"/>
    <w:rsid w:val="0063515B"/>
    <w:rsid w:val="00635266"/>
    <w:rsid w:val="006354F3"/>
    <w:rsid w:val="0063590E"/>
    <w:rsid w:val="00635B77"/>
    <w:rsid w:val="00635C1C"/>
    <w:rsid w:val="006369A4"/>
    <w:rsid w:val="00636A71"/>
    <w:rsid w:val="00636CB4"/>
    <w:rsid w:val="00637A9F"/>
    <w:rsid w:val="00637AB7"/>
    <w:rsid w:val="00637ED3"/>
    <w:rsid w:val="00637EFA"/>
    <w:rsid w:val="006413D5"/>
    <w:rsid w:val="00642210"/>
    <w:rsid w:val="0064290B"/>
    <w:rsid w:val="00642B85"/>
    <w:rsid w:val="00643740"/>
    <w:rsid w:val="00643A34"/>
    <w:rsid w:val="00643E9B"/>
    <w:rsid w:val="0064473E"/>
    <w:rsid w:val="0064518A"/>
    <w:rsid w:val="0064521C"/>
    <w:rsid w:val="00645426"/>
    <w:rsid w:val="006460C7"/>
    <w:rsid w:val="00646583"/>
    <w:rsid w:val="00646982"/>
    <w:rsid w:val="00647050"/>
    <w:rsid w:val="006479BD"/>
    <w:rsid w:val="0065084A"/>
    <w:rsid w:val="00650A72"/>
    <w:rsid w:val="00651A5B"/>
    <w:rsid w:val="00651D8B"/>
    <w:rsid w:val="006521A7"/>
    <w:rsid w:val="006522C1"/>
    <w:rsid w:val="006528F8"/>
    <w:rsid w:val="00652C49"/>
    <w:rsid w:val="006539C0"/>
    <w:rsid w:val="00653D16"/>
    <w:rsid w:val="00654312"/>
    <w:rsid w:val="0065531F"/>
    <w:rsid w:val="006567B0"/>
    <w:rsid w:val="00657D69"/>
    <w:rsid w:val="00660464"/>
    <w:rsid w:val="00660926"/>
    <w:rsid w:val="00660B0D"/>
    <w:rsid w:val="00661146"/>
    <w:rsid w:val="006618E3"/>
    <w:rsid w:val="00661CA1"/>
    <w:rsid w:val="00662B82"/>
    <w:rsid w:val="00662C6B"/>
    <w:rsid w:val="00662E37"/>
    <w:rsid w:val="006635CD"/>
    <w:rsid w:val="00664105"/>
    <w:rsid w:val="00664384"/>
    <w:rsid w:val="00664D9E"/>
    <w:rsid w:val="0066577A"/>
    <w:rsid w:val="00665801"/>
    <w:rsid w:val="00665CD1"/>
    <w:rsid w:val="00665D1E"/>
    <w:rsid w:val="00665E67"/>
    <w:rsid w:val="00666191"/>
    <w:rsid w:val="00666546"/>
    <w:rsid w:val="00666659"/>
    <w:rsid w:val="00666A2C"/>
    <w:rsid w:val="00667087"/>
    <w:rsid w:val="006676EF"/>
    <w:rsid w:val="00670A9E"/>
    <w:rsid w:val="00670B63"/>
    <w:rsid w:val="00670CA5"/>
    <w:rsid w:val="006718ED"/>
    <w:rsid w:val="00671BB3"/>
    <w:rsid w:val="00671DEE"/>
    <w:rsid w:val="006725C5"/>
    <w:rsid w:val="00673FD3"/>
    <w:rsid w:val="0067468A"/>
    <w:rsid w:val="00674FF7"/>
    <w:rsid w:val="00675241"/>
    <w:rsid w:val="00675824"/>
    <w:rsid w:val="006758BE"/>
    <w:rsid w:val="006763BB"/>
    <w:rsid w:val="0067708B"/>
    <w:rsid w:val="00677149"/>
    <w:rsid w:val="00677370"/>
    <w:rsid w:val="006773BE"/>
    <w:rsid w:val="00677707"/>
    <w:rsid w:val="006804B2"/>
    <w:rsid w:val="00682C2E"/>
    <w:rsid w:val="00682D03"/>
    <w:rsid w:val="006850C5"/>
    <w:rsid w:val="006856E7"/>
    <w:rsid w:val="00686148"/>
    <w:rsid w:val="00686908"/>
    <w:rsid w:val="00686AE4"/>
    <w:rsid w:val="00686EDA"/>
    <w:rsid w:val="0068738A"/>
    <w:rsid w:val="0068742D"/>
    <w:rsid w:val="00687FF2"/>
    <w:rsid w:val="0069059D"/>
    <w:rsid w:val="006905B2"/>
    <w:rsid w:val="006914E8"/>
    <w:rsid w:val="006915E3"/>
    <w:rsid w:val="0069168D"/>
    <w:rsid w:val="00691B0D"/>
    <w:rsid w:val="00691F22"/>
    <w:rsid w:val="00691F71"/>
    <w:rsid w:val="00692625"/>
    <w:rsid w:val="006930AE"/>
    <w:rsid w:val="006930CC"/>
    <w:rsid w:val="006936FA"/>
    <w:rsid w:val="00693917"/>
    <w:rsid w:val="00693FEE"/>
    <w:rsid w:val="0069515D"/>
    <w:rsid w:val="006951A3"/>
    <w:rsid w:val="0069566C"/>
    <w:rsid w:val="00695AB7"/>
    <w:rsid w:val="00696066"/>
    <w:rsid w:val="00696645"/>
    <w:rsid w:val="0069716D"/>
    <w:rsid w:val="00697694"/>
    <w:rsid w:val="00697853"/>
    <w:rsid w:val="00697C1E"/>
    <w:rsid w:val="00697E69"/>
    <w:rsid w:val="006A0997"/>
    <w:rsid w:val="006A0C7C"/>
    <w:rsid w:val="006A1BA3"/>
    <w:rsid w:val="006A1D46"/>
    <w:rsid w:val="006A2862"/>
    <w:rsid w:val="006A2FA2"/>
    <w:rsid w:val="006A2FC6"/>
    <w:rsid w:val="006A3354"/>
    <w:rsid w:val="006A3F51"/>
    <w:rsid w:val="006A3FD5"/>
    <w:rsid w:val="006A5091"/>
    <w:rsid w:val="006A5DAD"/>
    <w:rsid w:val="006A5FA1"/>
    <w:rsid w:val="006A64DA"/>
    <w:rsid w:val="006A64F2"/>
    <w:rsid w:val="006A6785"/>
    <w:rsid w:val="006A6BEC"/>
    <w:rsid w:val="006A6D4B"/>
    <w:rsid w:val="006A6E6D"/>
    <w:rsid w:val="006B04DC"/>
    <w:rsid w:val="006B19B9"/>
    <w:rsid w:val="006B201D"/>
    <w:rsid w:val="006B2755"/>
    <w:rsid w:val="006B3119"/>
    <w:rsid w:val="006B3C04"/>
    <w:rsid w:val="006B44BF"/>
    <w:rsid w:val="006B499A"/>
    <w:rsid w:val="006B4C5D"/>
    <w:rsid w:val="006B5762"/>
    <w:rsid w:val="006B6369"/>
    <w:rsid w:val="006B6F9E"/>
    <w:rsid w:val="006B7360"/>
    <w:rsid w:val="006B7B1C"/>
    <w:rsid w:val="006B7FB9"/>
    <w:rsid w:val="006C0987"/>
    <w:rsid w:val="006C179E"/>
    <w:rsid w:val="006C18DA"/>
    <w:rsid w:val="006C1947"/>
    <w:rsid w:val="006C2702"/>
    <w:rsid w:val="006C2841"/>
    <w:rsid w:val="006C382A"/>
    <w:rsid w:val="006C3A72"/>
    <w:rsid w:val="006C3EEC"/>
    <w:rsid w:val="006C45A2"/>
    <w:rsid w:val="006C6739"/>
    <w:rsid w:val="006C6FA0"/>
    <w:rsid w:val="006C785A"/>
    <w:rsid w:val="006C7FD9"/>
    <w:rsid w:val="006D00BF"/>
    <w:rsid w:val="006D125B"/>
    <w:rsid w:val="006D155E"/>
    <w:rsid w:val="006D247E"/>
    <w:rsid w:val="006D2BA2"/>
    <w:rsid w:val="006D41E1"/>
    <w:rsid w:val="006D449E"/>
    <w:rsid w:val="006D5765"/>
    <w:rsid w:val="006D57B8"/>
    <w:rsid w:val="006D59ED"/>
    <w:rsid w:val="006D62EA"/>
    <w:rsid w:val="006D650F"/>
    <w:rsid w:val="006D6520"/>
    <w:rsid w:val="006D6539"/>
    <w:rsid w:val="006D71AF"/>
    <w:rsid w:val="006D7562"/>
    <w:rsid w:val="006D77F9"/>
    <w:rsid w:val="006D79A2"/>
    <w:rsid w:val="006D7D29"/>
    <w:rsid w:val="006E0167"/>
    <w:rsid w:val="006E0BE9"/>
    <w:rsid w:val="006E137B"/>
    <w:rsid w:val="006E1788"/>
    <w:rsid w:val="006E19F5"/>
    <w:rsid w:val="006E208C"/>
    <w:rsid w:val="006E270B"/>
    <w:rsid w:val="006E27CD"/>
    <w:rsid w:val="006E29AA"/>
    <w:rsid w:val="006E2F7D"/>
    <w:rsid w:val="006E2F9A"/>
    <w:rsid w:val="006E3714"/>
    <w:rsid w:val="006E39AB"/>
    <w:rsid w:val="006E3E9F"/>
    <w:rsid w:val="006E456B"/>
    <w:rsid w:val="006E4730"/>
    <w:rsid w:val="006E4BC8"/>
    <w:rsid w:val="006E5249"/>
    <w:rsid w:val="006E5615"/>
    <w:rsid w:val="006E5632"/>
    <w:rsid w:val="006E62B6"/>
    <w:rsid w:val="006E7AB1"/>
    <w:rsid w:val="006F025B"/>
    <w:rsid w:val="006F0444"/>
    <w:rsid w:val="006F0A30"/>
    <w:rsid w:val="006F157F"/>
    <w:rsid w:val="006F2C2C"/>
    <w:rsid w:val="006F2FA8"/>
    <w:rsid w:val="006F3CDF"/>
    <w:rsid w:val="006F3FAE"/>
    <w:rsid w:val="006F4294"/>
    <w:rsid w:val="006F4756"/>
    <w:rsid w:val="006F4EB5"/>
    <w:rsid w:val="006F520C"/>
    <w:rsid w:val="006F62DC"/>
    <w:rsid w:val="006F62FB"/>
    <w:rsid w:val="006F6C8C"/>
    <w:rsid w:val="006F6D91"/>
    <w:rsid w:val="006F7485"/>
    <w:rsid w:val="006F7700"/>
    <w:rsid w:val="006F79ED"/>
    <w:rsid w:val="006F7EB8"/>
    <w:rsid w:val="007006F1"/>
    <w:rsid w:val="00701439"/>
    <w:rsid w:val="00701790"/>
    <w:rsid w:val="00701CC6"/>
    <w:rsid w:val="00702CE4"/>
    <w:rsid w:val="00703750"/>
    <w:rsid w:val="007048B0"/>
    <w:rsid w:val="0070548F"/>
    <w:rsid w:val="00705D6B"/>
    <w:rsid w:val="0070678B"/>
    <w:rsid w:val="00706AA0"/>
    <w:rsid w:val="00706C01"/>
    <w:rsid w:val="00706C6A"/>
    <w:rsid w:val="00710053"/>
    <w:rsid w:val="0071042C"/>
    <w:rsid w:val="00710D93"/>
    <w:rsid w:val="0071176F"/>
    <w:rsid w:val="00711BA1"/>
    <w:rsid w:val="007121CF"/>
    <w:rsid w:val="007132D3"/>
    <w:rsid w:val="00713486"/>
    <w:rsid w:val="00713A22"/>
    <w:rsid w:val="00713B16"/>
    <w:rsid w:val="00714083"/>
    <w:rsid w:val="0071424C"/>
    <w:rsid w:val="00714633"/>
    <w:rsid w:val="00714A63"/>
    <w:rsid w:val="00716368"/>
    <w:rsid w:val="007163B8"/>
    <w:rsid w:val="00716426"/>
    <w:rsid w:val="00716DFA"/>
    <w:rsid w:val="007170A8"/>
    <w:rsid w:val="00717B4E"/>
    <w:rsid w:val="00717EAD"/>
    <w:rsid w:val="0072075F"/>
    <w:rsid w:val="00720A9D"/>
    <w:rsid w:val="00720ED7"/>
    <w:rsid w:val="00721042"/>
    <w:rsid w:val="00722A23"/>
    <w:rsid w:val="0072306D"/>
    <w:rsid w:val="007231CD"/>
    <w:rsid w:val="00723437"/>
    <w:rsid w:val="007240AA"/>
    <w:rsid w:val="007241F9"/>
    <w:rsid w:val="0072437A"/>
    <w:rsid w:val="00724405"/>
    <w:rsid w:val="00724559"/>
    <w:rsid w:val="00724960"/>
    <w:rsid w:val="00724B55"/>
    <w:rsid w:val="00725C6F"/>
    <w:rsid w:val="00726B57"/>
    <w:rsid w:val="00726F97"/>
    <w:rsid w:val="007270FB"/>
    <w:rsid w:val="00730043"/>
    <w:rsid w:val="00731C7B"/>
    <w:rsid w:val="00731DDC"/>
    <w:rsid w:val="00732ABD"/>
    <w:rsid w:val="00733886"/>
    <w:rsid w:val="00733EF2"/>
    <w:rsid w:val="00734286"/>
    <w:rsid w:val="0073453F"/>
    <w:rsid w:val="0073485C"/>
    <w:rsid w:val="00734AC3"/>
    <w:rsid w:val="00734C95"/>
    <w:rsid w:val="00734C99"/>
    <w:rsid w:val="007355FF"/>
    <w:rsid w:val="007360A4"/>
    <w:rsid w:val="00736BF4"/>
    <w:rsid w:val="0073715C"/>
    <w:rsid w:val="00737AE9"/>
    <w:rsid w:val="007406AD"/>
    <w:rsid w:val="007409F8"/>
    <w:rsid w:val="00741BB7"/>
    <w:rsid w:val="007443BD"/>
    <w:rsid w:val="00744A14"/>
    <w:rsid w:val="0074527A"/>
    <w:rsid w:val="0074541C"/>
    <w:rsid w:val="00745684"/>
    <w:rsid w:val="0074610D"/>
    <w:rsid w:val="007464AE"/>
    <w:rsid w:val="00746658"/>
    <w:rsid w:val="00747280"/>
    <w:rsid w:val="007476B2"/>
    <w:rsid w:val="0075007B"/>
    <w:rsid w:val="007500A6"/>
    <w:rsid w:val="00750371"/>
    <w:rsid w:val="0075043B"/>
    <w:rsid w:val="00750CBB"/>
    <w:rsid w:val="0075107F"/>
    <w:rsid w:val="00751592"/>
    <w:rsid w:val="00751833"/>
    <w:rsid w:val="00751FF1"/>
    <w:rsid w:val="00752270"/>
    <w:rsid w:val="00752895"/>
    <w:rsid w:val="00752C54"/>
    <w:rsid w:val="00752CD8"/>
    <w:rsid w:val="00753A79"/>
    <w:rsid w:val="0075401B"/>
    <w:rsid w:val="00754694"/>
    <w:rsid w:val="00754861"/>
    <w:rsid w:val="00754BF8"/>
    <w:rsid w:val="00754C1A"/>
    <w:rsid w:val="00755750"/>
    <w:rsid w:val="007558BC"/>
    <w:rsid w:val="00756275"/>
    <w:rsid w:val="00756295"/>
    <w:rsid w:val="00757149"/>
    <w:rsid w:val="00757E71"/>
    <w:rsid w:val="0076034B"/>
    <w:rsid w:val="0076099E"/>
    <w:rsid w:val="00761966"/>
    <w:rsid w:val="0076267A"/>
    <w:rsid w:val="007631A2"/>
    <w:rsid w:val="00763325"/>
    <w:rsid w:val="007634B4"/>
    <w:rsid w:val="0076358B"/>
    <w:rsid w:val="00763728"/>
    <w:rsid w:val="00763982"/>
    <w:rsid w:val="00764115"/>
    <w:rsid w:val="0076446D"/>
    <w:rsid w:val="00764952"/>
    <w:rsid w:val="00764B72"/>
    <w:rsid w:val="00764C98"/>
    <w:rsid w:val="00765BA8"/>
    <w:rsid w:val="00766D9F"/>
    <w:rsid w:val="007674E6"/>
    <w:rsid w:val="0076788A"/>
    <w:rsid w:val="00767DDE"/>
    <w:rsid w:val="00770A47"/>
    <w:rsid w:val="00771760"/>
    <w:rsid w:val="00771787"/>
    <w:rsid w:val="007719BF"/>
    <w:rsid w:val="00772398"/>
    <w:rsid w:val="00772968"/>
    <w:rsid w:val="00773C61"/>
    <w:rsid w:val="007744D0"/>
    <w:rsid w:val="00774772"/>
    <w:rsid w:val="007755F0"/>
    <w:rsid w:val="00775A07"/>
    <w:rsid w:val="00776317"/>
    <w:rsid w:val="00776C62"/>
    <w:rsid w:val="00776D26"/>
    <w:rsid w:val="00776EC3"/>
    <w:rsid w:val="00776F81"/>
    <w:rsid w:val="00777F54"/>
    <w:rsid w:val="0078066A"/>
    <w:rsid w:val="00780E19"/>
    <w:rsid w:val="00780F29"/>
    <w:rsid w:val="00781252"/>
    <w:rsid w:val="007819E8"/>
    <w:rsid w:val="0078220B"/>
    <w:rsid w:val="00782B91"/>
    <w:rsid w:val="007833F0"/>
    <w:rsid w:val="0078370D"/>
    <w:rsid w:val="00783C23"/>
    <w:rsid w:val="0078415F"/>
    <w:rsid w:val="007842B9"/>
    <w:rsid w:val="00784625"/>
    <w:rsid w:val="00784964"/>
    <w:rsid w:val="00784ACE"/>
    <w:rsid w:val="007860E1"/>
    <w:rsid w:val="0078646D"/>
    <w:rsid w:val="00786694"/>
    <w:rsid w:val="00786936"/>
    <w:rsid w:val="0078695F"/>
    <w:rsid w:val="0078771A"/>
    <w:rsid w:val="00787A30"/>
    <w:rsid w:val="00790883"/>
    <w:rsid w:val="00791000"/>
    <w:rsid w:val="00791307"/>
    <w:rsid w:val="0079152A"/>
    <w:rsid w:val="00791920"/>
    <w:rsid w:val="007920D4"/>
    <w:rsid w:val="007922DF"/>
    <w:rsid w:val="00794339"/>
    <w:rsid w:val="00795395"/>
    <w:rsid w:val="0079608B"/>
    <w:rsid w:val="00796FCB"/>
    <w:rsid w:val="0079777B"/>
    <w:rsid w:val="00797C52"/>
    <w:rsid w:val="007A0894"/>
    <w:rsid w:val="007A096B"/>
    <w:rsid w:val="007A0A35"/>
    <w:rsid w:val="007A2041"/>
    <w:rsid w:val="007A2192"/>
    <w:rsid w:val="007A24CE"/>
    <w:rsid w:val="007A3C48"/>
    <w:rsid w:val="007A4B04"/>
    <w:rsid w:val="007A4C9F"/>
    <w:rsid w:val="007A4DEC"/>
    <w:rsid w:val="007A58F0"/>
    <w:rsid w:val="007A696C"/>
    <w:rsid w:val="007A6A56"/>
    <w:rsid w:val="007A6B11"/>
    <w:rsid w:val="007A6EAF"/>
    <w:rsid w:val="007A70FD"/>
    <w:rsid w:val="007A7257"/>
    <w:rsid w:val="007A76BE"/>
    <w:rsid w:val="007A7975"/>
    <w:rsid w:val="007A7ABB"/>
    <w:rsid w:val="007A7E9E"/>
    <w:rsid w:val="007B1111"/>
    <w:rsid w:val="007B11FE"/>
    <w:rsid w:val="007B2517"/>
    <w:rsid w:val="007B2705"/>
    <w:rsid w:val="007B2A07"/>
    <w:rsid w:val="007B35C3"/>
    <w:rsid w:val="007B3771"/>
    <w:rsid w:val="007B3CE7"/>
    <w:rsid w:val="007B474C"/>
    <w:rsid w:val="007B4F1F"/>
    <w:rsid w:val="007B5407"/>
    <w:rsid w:val="007B57F6"/>
    <w:rsid w:val="007B5CF4"/>
    <w:rsid w:val="007B5E90"/>
    <w:rsid w:val="007B6872"/>
    <w:rsid w:val="007B6C95"/>
    <w:rsid w:val="007B707B"/>
    <w:rsid w:val="007B7AB6"/>
    <w:rsid w:val="007B7F72"/>
    <w:rsid w:val="007C0D00"/>
    <w:rsid w:val="007C1FBC"/>
    <w:rsid w:val="007C2D37"/>
    <w:rsid w:val="007C31F6"/>
    <w:rsid w:val="007C3794"/>
    <w:rsid w:val="007C4095"/>
    <w:rsid w:val="007C4637"/>
    <w:rsid w:val="007C5CB5"/>
    <w:rsid w:val="007C719C"/>
    <w:rsid w:val="007C72EA"/>
    <w:rsid w:val="007C76CC"/>
    <w:rsid w:val="007C7951"/>
    <w:rsid w:val="007D1386"/>
    <w:rsid w:val="007D166F"/>
    <w:rsid w:val="007D18F8"/>
    <w:rsid w:val="007D2907"/>
    <w:rsid w:val="007D3F12"/>
    <w:rsid w:val="007D4B94"/>
    <w:rsid w:val="007D4FAB"/>
    <w:rsid w:val="007D54D3"/>
    <w:rsid w:val="007D575D"/>
    <w:rsid w:val="007D6015"/>
    <w:rsid w:val="007D63B0"/>
    <w:rsid w:val="007D63F5"/>
    <w:rsid w:val="007D6D60"/>
    <w:rsid w:val="007D7646"/>
    <w:rsid w:val="007D7F9E"/>
    <w:rsid w:val="007E01E4"/>
    <w:rsid w:val="007E0538"/>
    <w:rsid w:val="007E08BA"/>
    <w:rsid w:val="007E127D"/>
    <w:rsid w:val="007E1767"/>
    <w:rsid w:val="007E1A9F"/>
    <w:rsid w:val="007E2617"/>
    <w:rsid w:val="007E32C9"/>
    <w:rsid w:val="007E3EFD"/>
    <w:rsid w:val="007E4160"/>
    <w:rsid w:val="007E4D70"/>
    <w:rsid w:val="007E52C6"/>
    <w:rsid w:val="007E5A76"/>
    <w:rsid w:val="007E5B4D"/>
    <w:rsid w:val="007E5E7F"/>
    <w:rsid w:val="007E6711"/>
    <w:rsid w:val="007E69D1"/>
    <w:rsid w:val="007E6DE6"/>
    <w:rsid w:val="007E6F58"/>
    <w:rsid w:val="007E7A90"/>
    <w:rsid w:val="007E7CF5"/>
    <w:rsid w:val="007E7D5C"/>
    <w:rsid w:val="007E7E8C"/>
    <w:rsid w:val="007F0485"/>
    <w:rsid w:val="007F0EBE"/>
    <w:rsid w:val="007F110A"/>
    <w:rsid w:val="007F123E"/>
    <w:rsid w:val="007F1341"/>
    <w:rsid w:val="007F1697"/>
    <w:rsid w:val="007F190C"/>
    <w:rsid w:val="007F1D85"/>
    <w:rsid w:val="007F39F8"/>
    <w:rsid w:val="007F3CD6"/>
    <w:rsid w:val="007F4861"/>
    <w:rsid w:val="007F4AF8"/>
    <w:rsid w:val="007F4D1B"/>
    <w:rsid w:val="007F4D74"/>
    <w:rsid w:val="007F5489"/>
    <w:rsid w:val="007F59FA"/>
    <w:rsid w:val="007F6E0E"/>
    <w:rsid w:val="007F6EAF"/>
    <w:rsid w:val="00802D1F"/>
    <w:rsid w:val="00804BE1"/>
    <w:rsid w:val="00805441"/>
    <w:rsid w:val="0080551D"/>
    <w:rsid w:val="00805CBA"/>
    <w:rsid w:val="00806A01"/>
    <w:rsid w:val="00806D7A"/>
    <w:rsid w:val="008070B0"/>
    <w:rsid w:val="00807294"/>
    <w:rsid w:val="008108EB"/>
    <w:rsid w:val="00811742"/>
    <w:rsid w:val="008142F2"/>
    <w:rsid w:val="00814AF9"/>
    <w:rsid w:val="00815088"/>
    <w:rsid w:val="008158EA"/>
    <w:rsid w:val="00816093"/>
    <w:rsid w:val="0081656F"/>
    <w:rsid w:val="00816F84"/>
    <w:rsid w:val="00817077"/>
    <w:rsid w:val="00817091"/>
    <w:rsid w:val="008171B1"/>
    <w:rsid w:val="008172B1"/>
    <w:rsid w:val="00817EEF"/>
    <w:rsid w:val="008208AC"/>
    <w:rsid w:val="00820DA0"/>
    <w:rsid w:val="0082329E"/>
    <w:rsid w:val="008233CA"/>
    <w:rsid w:val="008239B1"/>
    <w:rsid w:val="0082449A"/>
    <w:rsid w:val="00824E3B"/>
    <w:rsid w:val="008265C7"/>
    <w:rsid w:val="00827452"/>
    <w:rsid w:val="00831567"/>
    <w:rsid w:val="00831897"/>
    <w:rsid w:val="00831F99"/>
    <w:rsid w:val="0083273D"/>
    <w:rsid w:val="00832D8B"/>
    <w:rsid w:val="00832EC6"/>
    <w:rsid w:val="0083333F"/>
    <w:rsid w:val="00833627"/>
    <w:rsid w:val="008339D6"/>
    <w:rsid w:val="00833A6C"/>
    <w:rsid w:val="00834B15"/>
    <w:rsid w:val="008350C8"/>
    <w:rsid w:val="008350D2"/>
    <w:rsid w:val="008360B5"/>
    <w:rsid w:val="00836A1B"/>
    <w:rsid w:val="00836C18"/>
    <w:rsid w:val="00836C2C"/>
    <w:rsid w:val="00836D95"/>
    <w:rsid w:val="00837C4A"/>
    <w:rsid w:val="00840278"/>
    <w:rsid w:val="00840368"/>
    <w:rsid w:val="00840F8A"/>
    <w:rsid w:val="00841654"/>
    <w:rsid w:val="00841952"/>
    <w:rsid w:val="00841EA4"/>
    <w:rsid w:val="008421FF"/>
    <w:rsid w:val="00842B0C"/>
    <w:rsid w:val="00842FB5"/>
    <w:rsid w:val="00843699"/>
    <w:rsid w:val="00843822"/>
    <w:rsid w:val="008438B6"/>
    <w:rsid w:val="0084460A"/>
    <w:rsid w:val="00844E33"/>
    <w:rsid w:val="00845824"/>
    <w:rsid w:val="0084630C"/>
    <w:rsid w:val="0084700D"/>
    <w:rsid w:val="00847E30"/>
    <w:rsid w:val="008502B5"/>
    <w:rsid w:val="00850D6D"/>
    <w:rsid w:val="00850E1B"/>
    <w:rsid w:val="00851430"/>
    <w:rsid w:val="00851F9B"/>
    <w:rsid w:val="0085264F"/>
    <w:rsid w:val="008529A4"/>
    <w:rsid w:val="00852FF7"/>
    <w:rsid w:val="008534FF"/>
    <w:rsid w:val="00854183"/>
    <w:rsid w:val="00854BD6"/>
    <w:rsid w:val="008567E7"/>
    <w:rsid w:val="00856CE8"/>
    <w:rsid w:val="00857750"/>
    <w:rsid w:val="00857D28"/>
    <w:rsid w:val="00857EC2"/>
    <w:rsid w:val="00860DFF"/>
    <w:rsid w:val="00860EB4"/>
    <w:rsid w:val="00862713"/>
    <w:rsid w:val="00862F36"/>
    <w:rsid w:val="00863360"/>
    <w:rsid w:val="0086423E"/>
    <w:rsid w:val="00864611"/>
    <w:rsid w:val="00865724"/>
    <w:rsid w:val="00866D8D"/>
    <w:rsid w:val="00867348"/>
    <w:rsid w:val="00867F15"/>
    <w:rsid w:val="008715F1"/>
    <w:rsid w:val="00872693"/>
    <w:rsid w:val="00872B90"/>
    <w:rsid w:val="0087384D"/>
    <w:rsid w:val="00873AC0"/>
    <w:rsid w:val="00873C0A"/>
    <w:rsid w:val="008742A8"/>
    <w:rsid w:val="008746D5"/>
    <w:rsid w:val="00875292"/>
    <w:rsid w:val="00876347"/>
    <w:rsid w:val="00876A2A"/>
    <w:rsid w:val="00877BF6"/>
    <w:rsid w:val="008810E7"/>
    <w:rsid w:val="008816EB"/>
    <w:rsid w:val="00881DD0"/>
    <w:rsid w:val="00882BA9"/>
    <w:rsid w:val="00884274"/>
    <w:rsid w:val="00885607"/>
    <w:rsid w:val="00886243"/>
    <w:rsid w:val="00886523"/>
    <w:rsid w:val="00886861"/>
    <w:rsid w:val="00886DED"/>
    <w:rsid w:val="0088707E"/>
    <w:rsid w:val="00887500"/>
    <w:rsid w:val="00887FF1"/>
    <w:rsid w:val="008904AE"/>
    <w:rsid w:val="00890E92"/>
    <w:rsid w:val="008913E0"/>
    <w:rsid w:val="00893270"/>
    <w:rsid w:val="00895C2A"/>
    <w:rsid w:val="00895FE2"/>
    <w:rsid w:val="00896CB1"/>
    <w:rsid w:val="008970BB"/>
    <w:rsid w:val="00897676"/>
    <w:rsid w:val="008A1307"/>
    <w:rsid w:val="008A18E5"/>
    <w:rsid w:val="008A23C6"/>
    <w:rsid w:val="008A371E"/>
    <w:rsid w:val="008A3760"/>
    <w:rsid w:val="008A3DD3"/>
    <w:rsid w:val="008A3E54"/>
    <w:rsid w:val="008A4222"/>
    <w:rsid w:val="008A52F8"/>
    <w:rsid w:val="008A5648"/>
    <w:rsid w:val="008A5ECA"/>
    <w:rsid w:val="008A5F6A"/>
    <w:rsid w:val="008A64C7"/>
    <w:rsid w:val="008A6BA9"/>
    <w:rsid w:val="008A7212"/>
    <w:rsid w:val="008B040C"/>
    <w:rsid w:val="008B0A86"/>
    <w:rsid w:val="008B1E3F"/>
    <w:rsid w:val="008B2BB9"/>
    <w:rsid w:val="008B2C18"/>
    <w:rsid w:val="008B36CC"/>
    <w:rsid w:val="008B3964"/>
    <w:rsid w:val="008B442D"/>
    <w:rsid w:val="008B4B7F"/>
    <w:rsid w:val="008B4E34"/>
    <w:rsid w:val="008B50B2"/>
    <w:rsid w:val="008B5E8F"/>
    <w:rsid w:val="008B7236"/>
    <w:rsid w:val="008B742C"/>
    <w:rsid w:val="008C0C7E"/>
    <w:rsid w:val="008C0D99"/>
    <w:rsid w:val="008C1892"/>
    <w:rsid w:val="008C1C7E"/>
    <w:rsid w:val="008C1D48"/>
    <w:rsid w:val="008C27BA"/>
    <w:rsid w:val="008C2F4E"/>
    <w:rsid w:val="008C3182"/>
    <w:rsid w:val="008C3B16"/>
    <w:rsid w:val="008C3C11"/>
    <w:rsid w:val="008C4EE4"/>
    <w:rsid w:val="008C4F92"/>
    <w:rsid w:val="008C56F6"/>
    <w:rsid w:val="008C5ECE"/>
    <w:rsid w:val="008C5F97"/>
    <w:rsid w:val="008C6022"/>
    <w:rsid w:val="008C636E"/>
    <w:rsid w:val="008C63DE"/>
    <w:rsid w:val="008C7A30"/>
    <w:rsid w:val="008D028C"/>
    <w:rsid w:val="008D101F"/>
    <w:rsid w:val="008D15DC"/>
    <w:rsid w:val="008D1A1B"/>
    <w:rsid w:val="008D3CEB"/>
    <w:rsid w:val="008D40CB"/>
    <w:rsid w:val="008D4C0A"/>
    <w:rsid w:val="008D4DBA"/>
    <w:rsid w:val="008D6036"/>
    <w:rsid w:val="008D6526"/>
    <w:rsid w:val="008D66F6"/>
    <w:rsid w:val="008E0163"/>
    <w:rsid w:val="008E01FD"/>
    <w:rsid w:val="008E0A79"/>
    <w:rsid w:val="008E0EBD"/>
    <w:rsid w:val="008E187A"/>
    <w:rsid w:val="008E2053"/>
    <w:rsid w:val="008E2556"/>
    <w:rsid w:val="008E3329"/>
    <w:rsid w:val="008E3964"/>
    <w:rsid w:val="008E3FB2"/>
    <w:rsid w:val="008E4486"/>
    <w:rsid w:val="008E4AB1"/>
    <w:rsid w:val="008E4E26"/>
    <w:rsid w:val="008E522F"/>
    <w:rsid w:val="008E52CF"/>
    <w:rsid w:val="008E5CBC"/>
    <w:rsid w:val="008E6BE1"/>
    <w:rsid w:val="008E7C2E"/>
    <w:rsid w:val="008E7EB0"/>
    <w:rsid w:val="008F01DB"/>
    <w:rsid w:val="008F07FF"/>
    <w:rsid w:val="008F0DEB"/>
    <w:rsid w:val="008F10FA"/>
    <w:rsid w:val="008F127E"/>
    <w:rsid w:val="008F1930"/>
    <w:rsid w:val="008F2F1E"/>
    <w:rsid w:val="008F4685"/>
    <w:rsid w:val="008F4895"/>
    <w:rsid w:val="008F55EE"/>
    <w:rsid w:val="008F5694"/>
    <w:rsid w:val="008F5CDE"/>
    <w:rsid w:val="008F6949"/>
    <w:rsid w:val="008F716D"/>
    <w:rsid w:val="008F736C"/>
    <w:rsid w:val="0090061C"/>
    <w:rsid w:val="00901C7D"/>
    <w:rsid w:val="00901D97"/>
    <w:rsid w:val="00902FAD"/>
    <w:rsid w:val="0090362A"/>
    <w:rsid w:val="00904D62"/>
    <w:rsid w:val="00905C06"/>
    <w:rsid w:val="00905CE0"/>
    <w:rsid w:val="00905DD0"/>
    <w:rsid w:val="009063F8"/>
    <w:rsid w:val="00907CB3"/>
    <w:rsid w:val="00910C5D"/>
    <w:rsid w:val="00911C20"/>
    <w:rsid w:val="00913650"/>
    <w:rsid w:val="00913CDA"/>
    <w:rsid w:val="00914B5A"/>
    <w:rsid w:val="00914BF2"/>
    <w:rsid w:val="00915391"/>
    <w:rsid w:val="00915749"/>
    <w:rsid w:val="00917169"/>
    <w:rsid w:val="00920135"/>
    <w:rsid w:val="009205E9"/>
    <w:rsid w:val="00920666"/>
    <w:rsid w:val="00921932"/>
    <w:rsid w:val="00921CB7"/>
    <w:rsid w:val="00922DB3"/>
    <w:rsid w:val="00922F40"/>
    <w:rsid w:val="00923CB3"/>
    <w:rsid w:val="00924038"/>
    <w:rsid w:val="00924138"/>
    <w:rsid w:val="00924497"/>
    <w:rsid w:val="009245C1"/>
    <w:rsid w:val="00925142"/>
    <w:rsid w:val="00925CCB"/>
    <w:rsid w:val="0092794B"/>
    <w:rsid w:val="00927FD3"/>
    <w:rsid w:val="009300B9"/>
    <w:rsid w:val="00930142"/>
    <w:rsid w:val="00930949"/>
    <w:rsid w:val="00930A8B"/>
    <w:rsid w:val="009316D6"/>
    <w:rsid w:val="00932289"/>
    <w:rsid w:val="009328F0"/>
    <w:rsid w:val="00932EAC"/>
    <w:rsid w:val="0093319B"/>
    <w:rsid w:val="00934002"/>
    <w:rsid w:val="0093457D"/>
    <w:rsid w:val="00934BAE"/>
    <w:rsid w:val="00934E2A"/>
    <w:rsid w:val="00934FE1"/>
    <w:rsid w:val="009352BD"/>
    <w:rsid w:val="00936416"/>
    <w:rsid w:val="009365A5"/>
    <w:rsid w:val="00936D55"/>
    <w:rsid w:val="009372F6"/>
    <w:rsid w:val="009376B4"/>
    <w:rsid w:val="009403E3"/>
    <w:rsid w:val="0094059F"/>
    <w:rsid w:val="00940712"/>
    <w:rsid w:val="0094188B"/>
    <w:rsid w:val="00941895"/>
    <w:rsid w:val="00942E36"/>
    <w:rsid w:val="00942E4C"/>
    <w:rsid w:val="00943181"/>
    <w:rsid w:val="0094363C"/>
    <w:rsid w:val="0094367B"/>
    <w:rsid w:val="00943EFF"/>
    <w:rsid w:val="00944474"/>
    <w:rsid w:val="00944AAF"/>
    <w:rsid w:val="00944E51"/>
    <w:rsid w:val="009451B1"/>
    <w:rsid w:val="0094553E"/>
    <w:rsid w:val="0094575B"/>
    <w:rsid w:val="00945CC8"/>
    <w:rsid w:val="00946534"/>
    <w:rsid w:val="009467EC"/>
    <w:rsid w:val="009467F0"/>
    <w:rsid w:val="009469E5"/>
    <w:rsid w:val="00946DB4"/>
    <w:rsid w:val="00946F67"/>
    <w:rsid w:val="009475AE"/>
    <w:rsid w:val="009502BB"/>
    <w:rsid w:val="00950AF3"/>
    <w:rsid w:val="00950B8C"/>
    <w:rsid w:val="00950F83"/>
    <w:rsid w:val="0095265E"/>
    <w:rsid w:val="00952BF6"/>
    <w:rsid w:val="00954A00"/>
    <w:rsid w:val="0095530B"/>
    <w:rsid w:val="0095551C"/>
    <w:rsid w:val="00955850"/>
    <w:rsid w:val="009558BB"/>
    <w:rsid w:val="00956239"/>
    <w:rsid w:val="00956B60"/>
    <w:rsid w:val="0096034C"/>
    <w:rsid w:val="00960E28"/>
    <w:rsid w:val="00962262"/>
    <w:rsid w:val="00962D0F"/>
    <w:rsid w:val="00964001"/>
    <w:rsid w:val="009651CF"/>
    <w:rsid w:val="0096533F"/>
    <w:rsid w:val="0096565F"/>
    <w:rsid w:val="00965FC8"/>
    <w:rsid w:val="0096649D"/>
    <w:rsid w:val="00966BAD"/>
    <w:rsid w:val="009674AD"/>
    <w:rsid w:val="00967CF1"/>
    <w:rsid w:val="00967EAE"/>
    <w:rsid w:val="00970996"/>
    <w:rsid w:val="0097242E"/>
    <w:rsid w:val="00973F01"/>
    <w:rsid w:val="00974179"/>
    <w:rsid w:val="009756D4"/>
    <w:rsid w:val="0097584B"/>
    <w:rsid w:val="00975DD4"/>
    <w:rsid w:val="00975EAA"/>
    <w:rsid w:val="0097646D"/>
    <w:rsid w:val="009768FF"/>
    <w:rsid w:val="00977C5C"/>
    <w:rsid w:val="00977C6F"/>
    <w:rsid w:val="00980777"/>
    <w:rsid w:val="00981491"/>
    <w:rsid w:val="00981D4D"/>
    <w:rsid w:val="00981E08"/>
    <w:rsid w:val="00982613"/>
    <w:rsid w:val="00982951"/>
    <w:rsid w:val="009835BF"/>
    <w:rsid w:val="00983E44"/>
    <w:rsid w:val="00984780"/>
    <w:rsid w:val="009850F9"/>
    <w:rsid w:val="009856C0"/>
    <w:rsid w:val="0098572E"/>
    <w:rsid w:val="00985944"/>
    <w:rsid w:val="0098679F"/>
    <w:rsid w:val="00987921"/>
    <w:rsid w:val="00987C71"/>
    <w:rsid w:val="0099054C"/>
    <w:rsid w:val="009907D7"/>
    <w:rsid w:val="00990FC8"/>
    <w:rsid w:val="009915C8"/>
    <w:rsid w:val="009918EE"/>
    <w:rsid w:val="00991DEA"/>
    <w:rsid w:val="00991E8A"/>
    <w:rsid w:val="0099230F"/>
    <w:rsid w:val="0099295B"/>
    <w:rsid w:val="009930BB"/>
    <w:rsid w:val="00993DF2"/>
    <w:rsid w:val="009942B5"/>
    <w:rsid w:val="009946EC"/>
    <w:rsid w:val="00995EB8"/>
    <w:rsid w:val="00995F29"/>
    <w:rsid w:val="009960AA"/>
    <w:rsid w:val="00996C0A"/>
    <w:rsid w:val="00997A4F"/>
    <w:rsid w:val="009A0FB8"/>
    <w:rsid w:val="009A11A0"/>
    <w:rsid w:val="009A1907"/>
    <w:rsid w:val="009A1F8D"/>
    <w:rsid w:val="009A2C18"/>
    <w:rsid w:val="009A2F39"/>
    <w:rsid w:val="009A33C7"/>
    <w:rsid w:val="009A3C67"/>
    <w:rsid w:val="009A3CB6"/>
    <w:rsid w:val="009A3FF3"/>
    <w:rsid w:val="009A420B"/>
    <w:rsid w:val="009A4811"/>
    <w:rsid w:val="009A49A2"/>
    <w:rsid w:val="009A5049"/>
    <w:rsid w:val="009A51FE"/>
    <w:rsid w:val="009A615B"/>
    <w:rsid w:val="009A6949"/>
    <w:rsid w:val="009A7E0E"/>
    <w:rsid w:val="009B003A"/>
    <w:rsid w:val="009B061A"/>
    <w:rsid w:val="009B08F0"/>
    <w:rsid w:val="009B0C62"/>
    <w:rsid w:val="009B199F"/>
    <w:rsid w:val="009B2352"/>
    <w:rsid w:val="009B35BB"/>
    <w:rsid w:val="009B4C29"/>
    <w:rsid w:val="009B5045"/>
    <w:rsid w:val="009B6989"/>
    <w:rsid w:val="009B6B02"/>
    <w:rsid w:val="009B73B4"/>
    <w:rsid w:val="009B7BD3"/>
    <w:rsid w:val="009B7E4A"/>
    <w:rsid w:val="009C0106"/>
    <w:rsid w:val="009C03C6"/>
    <w:rsid w:val="009C0633"/>
    <w:rsid w:val="009C0E64"/>
    <w:rsid w:val="009C146E"/>
    <w:rsid w:val="009C159B"/>
    <w:rsid w:val="009C3487"/>
    <w:rsid w:val="009C3807"/>
    <w:rsid w:val="009C4077"/>
    <w:rsid w:val="009C46FD"/>
    <w:rsid w:val="009C4C92"/>
    <w:rsid w:val="009C50D6"/>
    <w:rsid w:val="009C57EE"/>
    <w:rsid w:val="009C60CB"/>
    <w:rsid w:val="009C6121"/>
    <w:rsid w:val="009C6742"/>
    <w:rsid w:val="009C7D61"/>
    <w:rsid w:val="009D03B3"/>
    <w:rsid w:val="009D063F"/>
    <w:rsid w:val="009D11D4"/>
    <w:rsid w:val="009D1E19"/>
    <w:rsid w:val="009D2E0D"/>
    <w:rsid w:val="009D2F25"/>
    <w:rsid w:val="009D34B0"/>
    <w:rsid w:val="009D3F20"/>
    <w:rsid w:val="009D4126"/>
    <w:rsid w:val="009D50F8"/>
    <w:rsid w:val="009D5D2C"/>
    <w:rsid w:val="009D6082"/>
    <w:rsid w:val="009D62AC"/>
    <w:rsid w:val="009D6351"/>
    <w:rsid w:val="009D6825"/>
    <w:rsid w:val="009D6CCE"/>
    <w:rsid w:val="009D7C07"/>
    <w:rsid w:val="009E0B6F"/>
    <w:rsid w:val="009E1209"/>
    <w:rsid w:val="009E18B9"/>
    <w:rsid w:val="009E1987"/>
    <w:rsid w:val="009E1B94"/>
    <w:rsid w:val="009E1C7B"/>
    <w:rsid w:val="009E226A"/>
    <w:rsid w:val="009E2AEA"/>
    <w:rsid w:val="009E3205"/>
    <w:rsid w:val="009E4687"/>
    <w:rsid w:val="009E485D"/>
    <w:rsid w:val="009E4EA7"/>
    <w:rsid w:val="009E4F4B"/>
    <w:rsid w:val="009E5893"/>
    <w:rsid w:val="009E6154"/>
    <w:rsid w:val="009E61CA"/>
    <w:rsid w:val="009E6374"/>
    <w:rsid w:val="009E6652"/>
    <w:rsid w:val="009E6BC4"/>
    <w:rsid w:val="009E7318"/>
    <w:rsid w:val="009F040B"/>
    <w:rsid w:val="009F0637"/>
    <w:rsid w:val="009F132C"/>
    <w:rsid w:val="009F160A"/>
    <w:rsid w:val="009F1F86"/>
    <w:rsid w:val="009F2AE4"/>
    <w:rsid w:val="009F2B9F"/>
    <w:rsid w:val="009F4051"/>
    <w:rsid w:val="009F426D"/>
    <w:rsid w:val="009F45E4"/>
    <w:rsid w:val="009F4DA4"/>
    <w:rsid w:val="009F5204"/>
    <w:rsid w:val="009F560D"/>
    <w:rsid w:val="009F564D"/>
    <w:rsid w:val="009F59A8"/>
    <w:rsid w:val="009F68A3"/>
    <w:rsid w:val="009F6F9C"/>
    <w:rsid w:val="009F7136"/>
    <w:rsid w:val="009F7A9B"/>
    <w:rsid w:val="00A013FF"/>
    <w:rsid w:val="00A015F9"/>
    <w:rsid w:val="00A01DD5"/>
    <w:rsid w:val="00A0275A"/>
    <w:rsid w:val="00A02B31"/>
    <w:rsid w:val="00A02DEC"/>
    <w:rsid w:val="00A03EE1"/>
    <w:rsid w:val="00A040F1"/>
    <w:rsid w:val="00A04B4E"/>
    <w:rsid w:val="00A05338"/>
    <w:rsid w:val="00A05957"/>
    <w:rsid w:val="00A062F0"/>
    <w:rsid w:val="00A075ED"/>
    <w:rsid w:val="00A07975"/>
    <w:rsid w:val="00A1003A"/>
    <w:rsid w:val="00A105FB"/>
    <w:rsid w:val="00A1084A"/>
    <w:rsid w:val="00A109B4"/>
    <w:rsid w:val="00A11340"/>
    <w:rsid w:val="00A122B9"/>
    <w:rsid w:val="00A1245B"/>
    <w:rsid w:val="00A12678"/>
    <w:rsid w:val="00A13019"/>
    <w:rsid w:val="00A133C9"/>
    <w:rsid w:val="00A13F60"/>
    <w:rsid w:val="00A148CD"/>
    <w:rsid w:val="00A14980"/>
    <w:rsid w:val="00A153B0"/>
    <w:rsid w:val="00A157FF"/>
    <w:rsid w:val="00A15AD3"/>
    <w:rsid w:val="00A1607B"/>
    <w:rsid w:val="00A161F8"/>
    <w:rsid w:val="00A1640A"/>
    <w:rsid w:val="00A167ED"/>
    <w:rsid w:val="00A16A09"/>
    <w:rsid w:val="00A17DB9"/>
    <w:rsid w:val="00A201B3"/>
    <w:rsid w:val="00A20675"/>
    <w:rsid w:val="00A20FFD"/>
    <w:rsid w:val="00A2122D"/>
    <w:rsid w:val="00A2169F"/>
    <w:rsid w:val="00A22020"/>
    <w:rsid w:val="00A2216E"/>
    <w:rsid w:val="00A237BF"/>
    <w:rsid w:val="00A2484D"/>
    <w:rsid w:val="00A24DD4"/>
    <w:rsid w:val="00A26398"/>
    <w:rsid w:val="00A26D4C"/>
    <w:rsid w:val="00A274A2"/>
    <w:rsid w:val="00A276EA"/>
    <w:rsid w:val="00A3055C"/>
    <w:rsid w:val="00A3087A"/>
    <w:rsid w:val="00A30B98"/>
    <w:rsid w:val="00A31344"/>
    <w:rsid w:val="00A325E0"/>
    <w:rsid w:val="00A32875"/>
    <w:rsid w:val="00A33D24"/>
    <w:rsid w:val="00A361DC"/>
    <w:rsid w:val="00A36481"/>
    <w:rsid w:val="00A36ECB"/>
    <w:rsid w:val="00A37E1C"/>
    <w:rsid w:val="00A401DC"/>
    <w:rsid w:val="00A41B2A"/>
    <w:rsid w:val="00A41D22"/>
    <w:rsid w:val="00A42DE7"/>
    <w:rsid w:val="00A43155"/>
    <w:rsid w:val="00A437EB"/>
    <w:rsid w:val="00A44033"/>
    <w:rsid w:val="00A442B1"/>
    <w:rsid w:val="00A4493B"/>
    <w:rsid w:val="00A45F75"/>
    <w:rsid w:val="00A46DA3"/>
    <w:rsid w:val="00A475C9"/>
    <w:rsid w:val="00A476F4"/>
    <w:rsid w:val="00A50103"/>
    <w:rsid w:val="00A5049C"/>
    <w:rsid w:val="00A50AEA"/>
    <w:rsid w:val="00A50DDE"/>
    <w:rsid w:val="00A50EA5"/>
    <w:rsid w:val="00A51FED"/>
    <w:rsid w:val="00A52366"/>
    <w:rsid w:val="00A52BFF"/>
    <w:rsid w:val="00A52F5D"/>
    <w:rsid w:val="00A551AC"/>
    <w:rsid w:val="00A55DF5"/>
    <w:rsid w:val="00A5625E"/>
    <w:rsid w:val="00A57366"/>
    <w:rsid w:val="00A574C1"/>
    <w:rsid w:val="00A57582"/>
    <w:rsid w:val="00A57FFA"/>
    <w:rsid w:val="00A60666"/>
    <w:rsid w:val="00A609B8"/>
    <w:rsid w:val="00A610A9"/>
    <w:rsid w:val="00A6113D"/>
    <w:rsid w:val="00A620F6"/>
    <w:rsid w:val="00A62136"/>
    <w:rsid w:val="00A622C4"/>
    <w:rsid w:val="00A63277"/>
    <w:rsid w:val="00A63B4B"/>
    <w:rsid w:val="00A63BE4"/>
    <w:rsid w:val="00A646F3"/>
    <w:rsid w:val="00A66041"/>
    <w:rsid w:val="00A66A4D"/>
    <w:rsid w:val="00A6727F"/>
    <w:rsid w:val="00A6738E"/>
    <w:rsid w:val="00A67947"/>
    <w:rsid w:val="00A67995"/>
    <w:rsid w:val="00A67CDF"/>
    <w:rsid w:val="00A709EB"/>
    <w:rsid w:val="00A70DDE"/>
    <w:rsid w:val="00A70EA3"/>
    <w:rsid w:val="00A714DD"/>
    <w:rsid w:val="00A714E2"/>
    <w:rsid w:val="00A71F1D"/>
    <w:rsid w:val="00A71FEE"/>
    <w:rsid w:val="00A72118"/>
    <w:rsid w:val="00A7262A"/>
    <w:rsid w:val="00A73D96"/>
    <w:rsid w:val="00A73DA9"/>
    <w:rsid w:val="00A74AC9"/>
    <w:rsid w:val="00A75298"/>
    <w:rsid w:val="00A75538"/>
    <w:rsid w:val="00A75576"/>
    <w:rsid w:val="00A7561A"/>
    <w:rsid w:val="00A75737"/>
    <w:rsid w:val="00A76E39"/>
    <w:rsid w:val="00A8063F"/>
    <w:rsid w:val="00A80E80"/>
    <w:rsid w:val="00A81A19"/>
    <w:rsid w:val="00A821C7"/>
    <w:rsid w:val="00A82C6F"/>
    <w:rsid w:val="00A83671"/>
    <w:rsid w:val="00A8447F"/>
    <w:rsid w:val="00A851CB"/>
    <w:rsid w:val="00A852E3"/>
    <w:rsid w:val="00A857D9"/>
    <w:rsid w:val="00A85985"/>
    <w:rsid w:val="00A861B3"/>
    <w:rsid w:val="00A86786"/>
    <w:rsid w:val="00A877D4"/>
    <w:rsid w:val="00A878F1"/>
    <w:rsid w:val="00A87CD8"/>
    <w:rsid w:val="00A90113"/>
    <w:rsid w:val="00A905D2"/>
    <w:rsid w:val="00A91512"/>
    <w:rsid w:val="00A927A8"/>
    <w:rsid w:val="00A9291F"/>
    <w:rsid w:val="00A938FF"/>
    <w:rsid w:val="00A940FC"/>
    <w:rsid w:val="00A94CDB"/>
    <w:rsid w:val="00A94D9A"/>
    <w:rsid w:val="00A95189"/>
    <w:rsid w:val="00A95286"/>
    <w:rsid w:val="00A96006"/>
    <w:rsid w:val="00A963C9"/>
    <w:rsid w:val="00A96E32"/>
    <w:rsid w:val="00A97063"/>
    <w:rsid w:val="00A9714C"/>
    <w:rsid w:val="00A97177"/>
    <w:rsid w:val="00A971CE"/>
    <w:rsid w:val="00A97605"/>
    <w:rsid w:val="00AA0474"/>
    <w:rsid w:val="00AA05CC"/>
    <w:rsid w:val="00AA06F9"/>
    <w:rsid w:val="00AA0CEC"/>
    <w:rsid w:val="00AA0FC9"/>
    <w:rsid w:val="00AA2E69"/>
    <w:rsid w:val="00AA338A"/>
    <w:rsid w:val="00AA3450"/>
    <w:rsid w:val="00AA462B"/>
    <w:rsid w:val="00AA62FE"/>
    <w:rsid w:val="00AA633A"/>
    <w:rsid w:val="00AA68A6"/>
    <w:rsid w:val="00AA6FA8"/>
    <w:rsid w:val="00AB15A7"/>
    <w:rsid w:val="00AB2225"/>
    <w:rsid w:val="00AB3B2F"/>
    <w:rsid w:val="00AB3E16"/>
    <w:rsid w:val="00AB4232"/>
    <w:rsid w:val="00AB4303"/>
    <w:rsid w:val="00AB4355"/>
    <w:rsid w:val="00AB441A"/>
    <w:rsid w:val="00AB445A"/>
    <w:rsid w:val="00AB4F40"/>
    <w:rsid w:val="00AB59D3"/>
    <w:rsid w:val="00AB59DF"/>
    <w:rsid w:val="00AB7D10"/>
    <w:rsid w:val="00AC1371"/>
    <w:rsid w:val="00AC23BD"/>
    <w:rsid w:val="00AC2C42"/>
    <w:rsid w:val="00AC310E"/>
    <w:rsid w:val="00AC350C"/>
    <w:rsid w:val="00AC3510"/>
    <w:rsid w:val="00AC3C99"/>
    <w:rsid w:val="00AC3E02"/>
    <w:rsid w:val="00AC4129"/>
    <w:rsid w:val="00AC5644"/>
    <w:rsid w:val="00AC6471"/>
    <w:rsid w:val="00AC6490"/>
    <w:rsid w:val="00AC7B80"/>
    <w:rsid w:val="00AD0150"/>
    <w:rsid w:val="00AD105C"/>
    <w:rsid w:val="00AD11F8"/>
    <w:rsid w:val="00AD1AF5"/>
    <w:rsid w:val="00AD28FD"/>
    <w:rsid w:val="00AD3ACF"/>
    <w:rsid w:val="00AD4566"/>
    <w:rsid w:val="00AD4B44"/>
    <w:rsid w:val="00AD4E0F"/>
    <w:rsid w:val="00AD57A8"/>
    <w:rsid w:val="00AD5A25"/>
    <w:rsid w:val="00AD5CB3"/>
    <w:rsid w:val="00AD6F92"/>
    <w:rsid w:val="00AD6FBF"/>
    <w:rsid w:val="00AE0418"/>
    <w:rsid w:val="00AE14AE"/>
    <w:rsid w:val="00AE268B"/>
    <w:rsid w:val="00AE2929"/>
    <w:rsid w:val="00AE2BA2"/>
    <w:rsid w:val="00AE35C6"/>
    <w:rsid w:val="00AE3DE2"/>
    <w:rsid w:val="00AE53CB"/>
    <w:rsid w:val="00AE57CB"/>
    <w:rsid w:val="00AE59E2"/>
    <w:rsid w:val="00AE5C44"/>
    <w:rsid w:val="00AE5EC7"/>
    <w:rsid w:val="00AE7948"/>
    <w:rsid w:val="00AF00DF"/>
    <w:rsid w:val="00AF01AD"/>
    <w:rsid w:val="00AF0496"/>
    <w:rsid w:val="00AF04C7"/>
    <w:rsid w:val="00AF04CD"/>
    <w:rsid w:val="00AF0547"/>
    <w:rsid w:val="00AF0C3B"/>
    <w:rsid w:val="00AF0CE3"/>
    <w:rsid w:val="00AF2242"/>
    <w:rsid w:val="00AF26B0"/>
    <w:rsid w:val="00AF3209"/>
    <w:rsid w:val="00AF328F"/>
    <w:rsid w:val="00AF386C"/>
    <w:rsid w:val="00AF39EE"/>
    <w:rsid w:val="00AF3C8B"/>
    <w:rsid w:val="00AF3DF9"/>
    <w:rsid w:val="00AF4866"/>
    <w:rsid w:val="00AF4CDD"/>
    <w:rsid w:val="00AF51E4"/>
    <w:rsid w:val="00AF58BC"/>
    <w:rsid w:val="00AF6BFC"/>
    <w:rsid w:val="00B00010"/>
    <w:rsid w:val="00B0045F"/>
    <w:rsid w:val="00B0104E"/>
    <w:rsid w:val="00B01170"/>
    <w:rsid w:val="00B01BEE"/>
    <w:rsid w:val="00B03998"/>
    <w:rsid w:val="00B039DE"/>
    <w:rsid w:val="00B03C34"/>
    <w:rsid w:val="00B041A8"/>
    <w:rsid w:val="00B043AF"/>
    <w:rsid w:val="00B046AD"/>
    <w:rsid w:val="00B054C1"/>
    <w:rsid w:val="00B059FA"/>
    <w:rsid w:val="00B05FB3"/>
    <w:rsid w:val="00B063DA"/>
    <w:rsid w:val="00B064F1"/>
    <w:rsid w:val="00B065AF"/>
    <w:rsid w:val="00B0732E"/>
    <w:rsid w:val="00B0736C"/>
    <w:rsid w:val="00B07CAA"/>
    <w:rsid w:val="00B1067A"/>
    <w:rsid w:val="00B107F5"/>
    <w:rsid w:val="00B1146A"/>
    <w:rsid w:val="00B11EDC"/>
    <w:rsid w:val="00B12173"/>
    <w:rsid w:val="00B1230E"/>
    <w:rsid w:val="00B1234C"/>
    <w:rsid w:val="00B125AA"/>
    <w:rsid w:val="00B1267F"/>
    <w:rsid w:val="00B12A32"/>
    <w:rsid w:val="00B12E96"/>
    <w:rsid w:val="00B13013"/>
    <w:rsid w:val="00B154D4"/>
    <w:rsid w:val="00B15F55"/>
    <w:rsid w:val="00B162EA"/>
    <w:rsid w:val="00B16F59"/>
    <w:rsid w:val="00B174C9"/>
    <w:rsid w:val="00B17648"/>
    <w:rsid w:val="00B17D94"/>
    <w:rsid w:val="00B20212"/>
    <w:rsid w:val="00B21E0E"/>
    <w:rsid w:val="00B22A5B"/>
    <w:rsid w:val="00B22CF4"/>
    <w:rsid w:val="00B23383"/>
    <w:rsid w:val="00B23943"/>
    <w:rsid w:val="00B24903"/>
    <w:rsid w:val="00B24B3C"/>
    <w:rsid w:val="00B25159"/>
    <w:rsid w:val="00B25A92"/>
    <w:rsid w:val="00B26479"/>
    <w:rsid w:val="00B26581"/>
    <w:rsid w:val="00B2726C"/>
    <w:rsid w:val="00B2771D"/>
    <w:rsid w:val="00B27918"/>
    <w:rsid w:val="00B279DC"/>
    <w:rsid w:val="00B27BD3"/>
    <w:rsid w:val="00B304B6"/>
    <w:rsid w:val="00B30690"/>
    <w:rsid w:val="00B30CC7"/>
    <w:rsid w:val="00B31814"/>
    <w:rsid w:val="00B31FBD"/>
    <w:rsid w:val="00B32151"/>
    <w:rsid w:val="00B32387"/>
    <w:rsid w:val="00B3251C"/>
    <w:rsid w:val="00B329C1"/>
    <w:rsid w:val="00B33029"/>
    <w:rsid w:val="00B34AF4"/>
    <w:rsid w:val="00B35708"/>
    <w:rsid w:val="00B36485"/>
    <w:rsid w:val="00B364CF"/>
    <w:rsid w:val="00B36768"/>
    <w:rsid w:val="00B368C8"/>
    <w:rsid w:val="00B36CF8"/>
    <w:rsid w:val="00B372B3"/>
    <w:rsid w:val="00B37374"/>
    <w:rsid w:val="00B406D7"/>
    <w:rsid w:val="00B4100D"/>
    <w:rsid w:val="00B410FE"/>
    <w:rsid w:val="00B415EC"/>
    <w:rsid w:val="00B41C1D"/>
    <w:rsid w:val="00B4206B"/>
    <w:rsid w:val="00B42401"/>
    <w:rsid w:val="00B43AE3"/>
    <w:rsid w:val="00B43CA7"/>
    <w:rsid w:val="00B44016"/>
    <w:rsid w:val="00B440F1"/>
    <w:rsid w:val="00B44E9B"/>
    <w:rsid w:val="00B45A39"/>
    <w:rsid w:val="00B474A3"/>
    <w:rsid w:val="00B47711"/>
    <w:rsid w:val="00B47FA5"/>
    <w:rsid w:val="00B500EA"/>
    <w:rsid w:val="00B50AD0"/>
    <w:rsid w:val="00B50ED1"/>
    <w:rsid w:val="00B5132B"/>
    <w:rsid w:val="00B51D97"/>
    <w:rsid w:val="00B52045"/>
    <w:rsid w:val="00B52F65"/>
    <w:rsid w:val="00B530C1"/>
    <w:rsid w:val="00B53D41"/>
    <w:rsid w:val="00B540D7"/>
    <w:rsid w:val="00B54667"/>
    <w:rsid w:val="00B5533C"/>
    <w:rsid w:val="00B55946"/>
    <w:rsid w:val="00B56518"/>
    <w:rsid w:val="00B57CD4"/>
    <w:rsid w:val="00B6059D"/>
    <w:rsid w:val="00B606EB"/>
    <w:rsid w:val="00B60A1C"/>
    <w:rsid w:val="00B60A64"/>
    <w:rsid w:val="00B60E5E"/>
    <w:rsid w:val="00B60E86"/>
    <w:rsid w:val="00B60EB6"/>
    <w:rsid w:val="00B6184E"/>
    <w:rsid w:val="00B63684"/>
    <w:rsid w:val="00B63D76"/>
    <w:rsid w:val="00B64148"/>
    <w:rsid w:val="00B64156"/>
    <w:rsid w:val="00B643D5"/>
    <w:rsid w:val="00B64ED4"/>
    <w:rsid w:val="00B65AF6"/>
    <w:rsid w:val="00B6646C"/>
    <w:rsid w:val="00B66D5A"/>
    <w:rsid w:val="00B670E6"/>
    <w:rsid w:val="00B678F0"/>
    <w:rsid w:val="00B67C01"/>
    <w:rsid w:val="00B7045E"/>
    <w:rsid w:val="00B708E9"/>
    <w:rsid w:val="00B711EF"/>
    <w:rsid w:val="00B719ED"/>
    <w:rsid w:val="00B71AAA"/>
    <w:rsid w:val="00B7255B"/>
    <w:rsid w:val="00B73BCA"/>
    <w:rsid w:val="00B73C4C"/>
    <w:rsid w:val="00B73CDA"/>
    <w:rsid w:val="00B740D0"/>
    <w:rsid w:val="00B744DE"/>
    <w:rsid w:val="00B750B4"/>
    <w:rsid w:val="00B7546E"/>
    <w:rsid w:val="00B75908"/>
    <w:rsid w:val="00B75BE7"/>
    <w:rsid w:val="00B7690A"/>
    <w:rsid w:val="00B76C3D"/>
    <w:rsid w:val="00B77DC6"/>
    <w:rsid w:val="00B77DD9"/>
    <w:rsid w:val="00B80940"/>
    <w:rsid w:val="00B816C0"/>
    <w:rsid w:val="00B81F55"/>
    <w:rsid w:val="00B82917"/>
    <w:rsid w:val="00B82963"/>
    <w:rsid w:val="00B82E90"/>
    <w:rsid w:val="00B833CE"/>
    <w:rsid w:val="00B836E9"/>
    <w:rsid w:val="00B83EDF"/>
    <w:rsid w:val="00B840ED"/>
    <w:rsid w:val="00B84D4F"/>
    <w:rsid w:val="00B859FA"/>
    <w:rsid w:val="00B85BA2"/>
    <w:rsid w:val="00B8629D"/>
    <w:rsid w:val="00B863DC"/>
    <w:rsid w:val="00B8692E"/>
    <w:rsid w:val="00B86FE6"/>
    <w:rsid w:val="00B871D1"/>
    <w:rsid w:val="00B87540"/>
    <w:rsid w:val="00B90214"/>
    <w:rsid w:val="00B90309"/>
    <w:rsid w:val="00B90F63"/>
    <w:rsid w:val="00B91524"/>
    <w:rsid w:val="00B91A73"/>
    <w:rsid w:val="00B91FB3"/>
    <w:rsid w:val="00B92A13"/>
    <w:rsid w:val="00B92BF5"/>
    <w:rsid w:val="00B92CE8"/>
    <w:rsid w:val="00B92DA1"/>
    <w:rsid w:val="00B93166"/>
    <w:rsid w:val="00B94161"/>
    <w:rsid w:val="00B95CC3"/>
    <w:rsid w:val="00B965B4"/>
    <w:rsid w:val="00B96B1D"/>
    <w:rsid w:val="00B97920"/>
    <w:rsid w:val="00BA03D0"/>
    <w:rsid w:val="00BA06C8"/>
    <w:rsid w:val="00BA11B5"/>
    <w:rsid w:val="00BA1399"/>
    <w:rsid w:val="00BA203B"/>
    <w:rsid w:val="00BA21BB"/>
    <w:rsid w:val="00BA2C8C"/>
    <w:rsid w:val="00BA33EE"/>
    <w:rsid w:val="00BA3F96"/>
    <w:rsid w:val="00BA4AA9"/>
    <w:rsid w:val="00BA5338"/>
    <w:rsid w:val="00BA588E"/>
    <w:rsid w:val="00BA67C4"/>
    <w:rsid w:val="00BA6CE1"/>
    <w:rsid w:val="00BA6E27"/>
    <w:rsid w:val="00BA720F"/>
    <w:rsid w:val="00BA7938"/>
    <w:rsid w:val="00BB0554"/>
    <w:rsid w:val="00BB0707"/>
    <w:rsid w:val="00BB0E09"/>
    <w:rsid w:val="00BB10D3"/>
    <w:rsid w:val="00BB1525"/>
    <w:rsid w:val="00BB1C2A"/>
    <w:rsid w:val="00BB213D"/>
    <w:rsid w:val="00BB3449"/>
    <w:rsid w:val="00BB361D"/>
    <w:rsid w:val="00BB40B4"/>
    <w:rsid w:val="00BB437A"/>
    <w:rsid w:val="00BB446A"/>
    <w:rsid w:val="00BB4604"/>
    <w:rsid w:val="00BB57C1"/>
    <w:rsid w:val="00BB5E41"/>
    <w:rsid w:val="00BB6112"/>
    <w:rsid w:val="00BB6784"/>
    <w:rsid w:val="00BB73A2"/>
    <w:rsid w:val="00BB7A1A"/>
    <w:rsid w:val="00BB7B74"/>
    <w:rsid w:val="00BB7C21"/>
    <w:rsid w:val="00BB7E40"/>
    <w:rsid w:val="00BB7F10"/>
    <w:rsid w:val="00BC0416"/>
    <w:rsid w:val="00BC0827"/>
    <w:rsid w:val="00BC0AB4"/>
    <w:rsid w:val="00BC11B4"/>
    <w:rsid w:val="00BC1F46"/>
    <w:rsid w:val="00BC225B"/>
    <w:rsid w:val="00BC6071"/>
    <w:rsid w:val="00BC65C9"/>
    <w:rsid w:val="00BC6BE3"/>
    <w:rsid w:val="00BC6F96"/>
    <w:rsid w:val="00BC7F4B"/>
    <w:rsid w:val="00BD1597"/>
    <w:rsid w:val="00BD2253"/>
    <w:rsid w:val="00BD2381"/>
    <w:rsid w:val="00BD271A"/>
    <w:rsid w:val="00BD2EF6"/>
    <w:rsid w:val="00BD34CC"/>
    <w:rsid w:val="00BD35EC"/>
    <w:rsid w:val="00BD5583"/>
    <w:rsid w:val="00BD6168"/>
    <w:rsid w:val="00BD7B82"/>
    <w:rsid w:val="00BE0427"/>
    <w:rsid w:val="00BE04ED"/>
    <w:rsid w:val="00BE053F"/>
    <w:rsid w:val="00BE0FE1"/>
    <w:rsid w:val="00BE1054"/>
    <w:rsid w:val="00BE17DA"/>
    <w:rsid w:val="00BE2A05"/>
    <w:rsid w:val="00BE2E1D"/>
    <w:rsid w:val="00BE3334"/>
    <w:rsid w:val="00BE367E"/>
    <w:rsid w:val="00BE433B"/>
    <w:rsid w:val="00BE49FE"/>
    <w:rsid w:val="00BE4E7A"/>
    <w:rsid w:val="00BE55E5"/>
    <w:rsid w:val="00BE60D4"/>
    <w:rsid w:val="00BE6F05"/>
    <w:rsid w:val="00BE7731"/>
    <w:rsid w:val="00BE7A34"/>
    <w:rsid w:val="00BF11C9"/>
    <w:rsid w:val="00BF1CEF"/>
    <w:rsid w:val="00BF23C7"/>
    <w:rsid w:val="00BF27A4"/>
    <w:rsid w:val="00BF2B55"/>
    <w:rsid w:val="00BF2BB2"/>
    <w:rsid w:val="00BF2C29"/>
    <w:rsid w:val="00BF34A2"/>
    <w:rsid w:val="00BF3AFF"/>
    <w:rsid w:val="00BF4618"/>
    <w:rsid w:val="00BF4D92"/>
    <w:rsid w:val="00BF67D9"/>
    <w:rsid w:val="00BF69AA"/>
    <w:rsid w:val="00BF6B75"/>
    <w:rsid w:val="00BF779C"/>
    <w:rsid w:val="00BF7D5D"/>
    <w:rsid w:val="00BF7E25"/>
    <w:rsid w:val="00BF7F38"/>
    <w:rsid w:val="00C0163B"/>
    <w:rsid w:val="00C01D50"/>
    <w:rsid w:val="00C026DC"/>
    <w:rsid w:val="00C026EC"/>
    <w:rsid w:val="00C03026"/>
    <w:rsid w:val="00C0313C"/>
    <w:rsid w:val="00C03305"/>
    <w:rsid w:val="00C034B2"/>
    <w:rsid w:val="00C047AC"/>
    <w:rsid w:val="00C0506E"/>
    <w:rsid w:val="00C05770"/>
    <w:rsid w:val="00C0729E"/>
    <w:rsid w:val="00C0784B"/>
    <w:rsid w:val="00C07A0D"/>
    <w:rsid w:val="00C10CA2"/>
    <w:rsid w:val="00C10D6D"/>
    <w:rsid w:val="00C1184C"/>
    <w:rsid w:val="00C11E91"/>
    <w:rsid w:val="00C12B78"/>
    <w:rsid w:val="00C13839"/>
    <w:rsid w:val="00C13BAE"/>
    <w:rsid w:val="00C13BC5"/>
    <w:rsid w:val="00C1461C"/>
    <w:rsid w:val="00C14B4F"/>
    <w:rsid w:val="00C1543A"/>
    <w:rsid w:val="00C15752"/>
    <w:rsid w:val="00C15E07"/>
    <w:rsid w:val="00C1607C"/>
    <w:rsid w:val="00C1672B"/>
    <w:rsid w:val="00C167EC"/>
    <w:rsid w:val="00C169B2"/>
    <w:rsid w:val="00C17994"/>
    <w:rsid w:val="00C17E83"/>
    <w:rsid w:val="00C202CD"/>
    <w:rsid w:val="00C2042C"/>
    <w:rsid w:val="00C20552"/>
    <w:rsid w:val="00C20735"/>
    <w:rsid w:val="00C20883"/>
    <w:rsid w:val="00C20905"/>
    <w:rsid w:val="00C22709"/>
    <w:rsid w:val="00C22893"/>
    <w:rsid w:val="00C235ED"/>
    <w:rsid w:val="00C23ABE"/>
    <w:rsid w:val="00C23D81"/>
    <w:rsid w:val="00C23E42"/>
    <w:rsid w:val="00C24E40"/>
    <w:rsid w:val="00C25548"/>
    <w:rsid w:val="00C2570A"/>
    <w:rsid w:val="00C26281"/>
    <w:rsid w:val="00C2758E"/>
    <w:rsid w:val="00C2799F"/>
    <w:rsid w:val="00C27FA8"/>
    <w:rsid w:val="00C30612"/>
    <w:rsid w:val="00C30863"/>
    <w:rsid w:val="00C31633"/>
    <w:rsid w:val="00C318CB"/>
    <w:rsid w:val="00C32236"/>
    <w:rsid w:val="00C327A0"/>
    <w:rsid w:val="00C33E70"/>
    <w:rsid w:val="00C342FB"/>
    <w:rsid w:val="00C347A4"/>
    <w:rsid w:val="00C34AE1"/>
    <w:rsid w:val="00C350E5"/>
    <w:rsid w:val="00C35766"/>
    <w:rsid w:val="00C36087"/>
    <w:rsid w:val="00C378BB"/>
    <w:rsid w:val="00C37985"/>
    <w:rsid w:val="00C37B72"/>
    <w:rsid w:val="00C37CDD"/>
    <w:rsid w:val="00C403FA"/>
    <w:rsid w:val="00C40A38"/>
    <w:rsid w:val="00C40F89"/>
    <w:rsid w:val="00C4158B"/>
    <w:rsid w:val="00C415AE"/>
    <w:rsid w:val="00C41AB3"/>
    <w:rsid w:val="00C4259E"/>
    <w:rsid w:val="00C42619"/>
    <w:rsid w:val="00C449A7"/>
    <w:rsid w:val="00C451E8"/>
    <w:rsid w:val="00C45570"/>
    <w:rsid w:val="00C45B29"/>
    <w:rsid w:val="00C464D0"/>
    <w:rsid w:val="00C46A2C"/>
    <w:rsid w:val="00C46F48"/>
    <w:rsid w:val="00C472FD"/>
    <w:rsid w:val="00C4732F"/>
    <w:rsid w:val="00C473F4"/>
    <w:rsid w:val="00C47406"/>
    <w:rsid w:val="00C47967"/>
    <w:rsid w:val="00C5043C"/>
    <w:rsid w:val="00C50B70"/>
    <w:rsid w:val="00C510B8"/>
    <w:rsid w:val="00C51153"/>
    <w:rsid w:val="00C5197F"/>
    <w:rsid w:val="00C51E20"/>
    <w:rsid w:val="00C52409"/>
    <w:rsid w:val="00C52501"/>
    <w:rsid w:val="00C52E5B"/>
    <w:rsid w:val="00C53612"/>
    <w:rsid w:val="00C537E0"/>
    <w:rsid w:val="00C54C79"/>
    <w:rsid w:val="00C54F3C"/>
    <w:rsid w:val="00C55342"/>
    <w:rsid w:val="00C5563B"/>
    <w:rsid w:val="00C55F20"/>
    <w:rsid w:val="00C56704"/>
    <w:rsid w:val="00C56D46"/>
    <w:rsid w:val="00C57FD0"/>
    <w:rsid w:val="00C6034E"/>
    <w:rsid w:val="00C60787"/>
    <w:rsid w:val="00C60BDC"/>
    <w:rsid w:val="00C6128E"/>
    <w:rsid w:val="00C6134B"/>
    <w:rsid w:val="00C616E1"/>
    <w:rsid w:val="00C61BE3"/>
    <w:rsid w:val="00C61F4D"/>
    <w:rsid w:val="00C6201E"/>
    <w:rsid w:val="00C63481"/>
    <w:rsid w:val="00C63B27"/>
    <w:rsid w:val="00C6426B"/>
    <w:rsid w:val="00C6431E"/>
    <w:rsid w:val="00C64E07"/>
    <w:rsid w:val="00C6563C"/>
    <w:rsid w:val="00C6681F"/>
    <w:rsid w:val="00C66FB6"/>
    <w:rsid w:val="00C67ED1"/>
    <w:rsid w:val="00C70079"/>
    <w:rsid w:val="00C70466"/>
    <w:rsid w:val="00C717BB"/>
    <w:rsid w:val="00C71957"/>
    <w:rsid w:val="00C71DBB"/>
    <w:rsid w:val="00C7326C"/>
    <w:rsid w:val="00C73ED8"/>
    <w:rsid w:val="00C744D3"/>
    <w:rsid w:val="00C747D8"/>
    <w:rsid w:val="00C74823"/>
    <w:rsid w:val="00C758F2"/>
    <w:rsid w:val="00C759B2"/>
    <w:rsid w:val="00C75E9B"/>
    <w:rsid w:val="00C767F5"/>
    <w:rsid w:val="00C77976"/>
    <w:rsid w:val="00C77B09"/>
    <w:rsid w:val="00C77BAB"/>
    <w:rsid w:val="00C77E27"/>
    <w:rsid w:val="00C8025C"/>
    <w:rsid w:val="00C80C82"/>
    <w:rsid w:val="00C812EC"/>
    <w:rsid w:val="00C81CBE"/>
    <w:rsid w:val="00C82838"/>
    <w:rsid w:val="00C83516"/>
    <w:rsid w:val="00C838F0"/>
    <w:rsid w:val="00C83C9C"/>
    <w:rsid w:val="00C846A8"/>
    <w:rsid w:val="00C84B81"/>
    <w:rsid w:val="00C8577D"/>
    <w:rsid w:val="00C85FBC"/>
    <w:rsid w:val="00C86063"/>
    <w:rsid w:val="00C86177"/>
    <w:rsid w:val="00C87C4D"/>
    <w:rsid w:val="00C87DD5"/>
    <w:rsid w:val="00C900E1"/>
    <w:rsid w:val="00C9051C"/>
    <w:rsid w:val="00C90BBF"/>
    <w:rsid w:val="00C926AB"/>
    <w:rsid w:val="00C92CEE"/>
    <w:rsid w:val="00C92F88"/>
    <w:rsid w:val="00C93364"/>
    <w:rsid w:val="00C93631"/>
    <w:rsid w:val="00C93D19"/>
    <w:rsid w:val="00C93D39"/>
    <w:rsid w:val="00C93F98"/>
    <w:rsid w:val="00C93FE7"/>
    <w:rsid w:val="00C946D3"/>
    <w:rsid w:val="00C949CB"/>
    <w:rsid w:val="00C94CDC"/>
    <w:rsid w:val="00C94EBE"/>
    <w:rsid w:val="00C9582C"/>
    <w:rsid w:val="00C964E6"/>
    <w:rsid w:val="00C96538"/>
    <w:rsid w:val="00C96581"/>
    <w:rsid w:val="00C97519"/>
    <w:rsid w:val="00C97E15"/>
    <w:rsid w:val="00CA0185"/>
    <w:rsid w:val="00CA16BF"/>
    <w:rsid w:val="00CA1D2C"/>
    <w:rsid w:val="00CA200A"/>
    <w:rsid w:val="00CA2A82"/>
    <w:rsid w:val="00CA2E2C"/>
    <w:rsid w:val="00CA3A44"/>
    <w:rsid w:val="00CA3B97"/>
    <w:rsid w:val="00CA4454"/>
    <w:rsid w:val="00CA4BB5"/>
    <w:rsid w:val="00CA5767"/>
    <w:rsid w:val="00CA5CB5"/>
    <w:rsid w:val="00CB087E"/>
    <w:rsid w:val="00CB09D1"/>
    <w:rsid w:val="00CB0FBC"/>
    <w:rsid w:val="00CB1347"/>
    <w:rsid w:val="00CB208D"/>
    <w:rsid w:val="00CB302D"/>
    <w:rsid w:val="00CB3DAA"/>
    <w:rsid w:val="00CB4773"/>
    <w:rsid w:val="00CB5585"/>
    <w:rsid w:val="00CB5BCB"/>
    <w:rsid w:val="00CB5E14"/>
    <w:rsid w:val="00CB60B6"/>
    <w:rsid w:val="00CB6ACF"/>
    <w:rsid w:val="00CB731A"/>
    <w:rsid w:val="00CB7334"/>
    <w:rsid w:val="00CC039A"/>
    <w:rsid w:val="00CC054B"/>
    <w:rsid w:val="00CC0D99"/>
    <w:rsid w:val="00CC0E07"/>
    <w:rsid w:val="00CC0FEF"/>
    <w:rsid w:val="00CC17B1"/>
    <w:rsid w:val="00CC1EB4"/>
    <w:rsid w:val="00CC2C95"/>
    <w:rsid w:val="00CC2CB8"/>
    <w:rsid w:val="00CC2EC1"/>
    <w:rsid w:val="00CC336E"/>
    <w:rsid w:val="00CC33DD"/>
    <w:rsid w:val="00CC4595"/>
    <w:rsid w:val="00CC5378"/>
    <w:rsid w:val="00CC5A65"/>
    <w:rsid w:val="00CC5BD9"/>
    <w:rsid w:val="00CC5CFC"/>
    <w:rsid w:val="00CC67D3"/>
    <w:rsid w:val="00CC6C5E"/>
    <w:rsid w:val="00CC7297"/>
    <w:rsid w:val="00CC79AA"/>
    <w:rsid w:val="00CD0061"/>
    <w:rsid w:val="00CD1B4D"/>
    <w:rsid w:val="00CD1E8F"/>
    <w:rsid w:val="00CD2FFE"/>
    <w:rsid w:val="00CD3AF9"/>
    <w:rsid w:val="00CD3DF0"/>
    <w:rsid w:val="00CD41C9"/>
    <w:rsid w:val="00CD49AC"/>
    <w:rsid w:val="00CD4BE8"/>
    <w:rsid w:val="00CD4D19"/>
    <w:rsid w:val="00CD540F"/>
    <w:rsid w:val="00CD76ED"/>
    <w:rsid w:val="00CE0ABF"/>
    <w:rsid w:val="00CE1B35"/>
    <w:rsid w:val="00CE2A3B"/>
    <w:rsid w:val="00CE33EC"/>
    <w:rsid w:val="00CE3836"/>
    <w:rsid w:val="00CE471C"/>
    <w:rsid w:val="00CE47EF"/>
    <w:rsid w:val="00CE4A1D"/>
    <w:rsid w:val="00CE52EC"/>
    <w:rsid w:val="00CE5BF4"/>
    <w:rsid w:val="00CE6731"/>
    <w:rsid w:val="00CE745E"/>
    <w:rsid w:val="00CE7906"/>
    <w:rsid w:val="00CF02CF"/>
    <w:rsid w:val="00CF1F34"/>
    <w:rsid w:val="00CF2054"/>
    <w:rsid w:val="00CF20D5"/>
    <w:rsid w:val="00CF36BF"/>
    <w:rsid w:val="00CF4D21"/>
    <w:rsid w:val="00CF63DC"/>
    <w:rsid w:val="00CF6502"/>
    <w:rsid w:val="00CF74B9"/>
    <w:rsid w:val="00CF78F1"/>
    <w:rsid w:val="00CF7A1D"/>
    <w:rsid w:val="00CF7D47"/>
    <w:rsid w:val="00D003D9"/>
    <w:rsid w:val="00D00829"/>
    <w:rsid w:val="00D00CA4"/>
    <w:rsid w:val="00D0129B"/>
    <w:rsid w:val="00D03A82"/>
    <w:rsid w:val="00D03B4A"/>
    <w:rsid w:val="00D03C29"/>
    <w:rsid w:val="00D043F2"/>
    <w:rsid w:val="00D049F9"/>
    <w:rsid w:val="00D054C2"/>
    <w:rsid w:val="00D05732"/>
    <w:rsid w:val="00D05FE0"/>
    <w:rsid w:val="00D07758"/>
    <w:rsid w:val="00D07898"/>
    <w:rsid w:val="00D07AE7"/>
    <w:rsid w:val="00D07F34"/>
    <w:rsid w:val="00D10375"/>
    <w:rsid w:val="00D10738"/>
    <w:rsid w:val="00D10E0F"/>
    <w:rsid w:val="00D112F8"/>
    <w:rsid w:val="00D11B46"/>
    <w:rsid w:val="00D12150"/>
    <w:rsid w:val="00D123EA"/>
    <w:rsid w:val="00D126D8"/>
    <w:rsid w:val="00D12A25"/>
    <w:rsid w:val="00D12A28"/>
    <w:rsid w:val="00D12D85"/>
    <w:rsid w:val="00D14189"/>
    <w:rsid w:val="00D166F0"/>
    <w:rsid w:val="00D16B88"/>
    <w:rsid w:val="00D171F2"/>
    <w:rsid w:val="00D20380"/>
    <w:rsid w:val="00D205B6"/>
    <w:rsid w:val="00D20AA7"/>
    <w:rsid w:val="00D20C63"/>
    <w:rsid w:val="00D21E5D"/>
    <w:rsid w:val="00D220FE"/>
    <w:rsid w:val="00D2531D"/>
    <w:rsid w:val="00D25366"/>
    <w:rsid w:val="00D2563A"/>
    <w:rsid w:val="00D2668E"/>
    <w:rsid w:val="00D267A1"/>
    <w:rsid w:val="00D26C78"/>
    <w:rsid w:val="00D271EE"/>
    <w:rsid w:val="00D27954"/>
    <w:rsid w:val="00D309BC"/>
    <w:rsid w:val="00D30C5C"/>
    <w:rsid w:val="00D30E30"/>
    <w:rsid w:val="00D314E2"/>
    <w:rsid w:val="00D31833"/>
    <w:rsid w:val="00D3209E"/>
    <w:rsid w:val="00D325EC"/>
    <w:rsid w:val="00D33229"/>
    <w:rsid w:val="00D33B0C"/>
    <w:rsid w:val="00D33CEB"/>
    <w:rsid w:val="00D34099"/>
    <w:rsid w:val="00D3490F"/>
    <w:rsid w:val="00D34CD1"/>
    <w:rsid w:val="00D3563B"/>
    <w:rsid w:val="00D35703"/>
    <w:rsid w:val="00D35E20"/>
    <w:rsid w:val="00D36A03"/>
    <w:rsid w:val="00D36AAF"/>
    <w:rsid w:val="00D36CD8"/>
    <w:rsid w:val="00D36E45"/>
    <w:rsid w:val="00D3766B"/>
    <w:rsid w:val="00D37A3E"/>
    <w:rsid w:val="00D40B7A"/>
    <w:rsid w:val="00D4195A"/>
    <w:rsid w:val="00D41C65"/>
    <w:rsid w:val="00D426C1"/>
    <w:rsid w:val="00D43A65"/>
    <w:rsid w:val="00D43A7D"/>
    <w:rsid w:val="00D43DC7"/>
    <w:rsid w:val="00D43F64"/>
    <w:rsid w:val="00D44336"/>
    <w:rsid w:val="00D44F3F"/>
    <w:rsid w:val="00D45712"/>
    <w:rsid w:val="00D45854"/>
    <w:rsid w:val="00D45CA1"/>
    <w:rsid w:val="00D46439"/>
    <w:rsid w:val="00D464B2"/>
    <w:rsid w:val="00D4673D"/>
    <w:rsid w:val="00D47291"/>
    <w:rsid w:val="00D47770"/>
    <w:rsid w:val="00D50496"/>
    <w:rsid w:val="00D506CC"/>
    <w:rsid w:val="00D5162B"/>
    <w:rsid w:val="00D51CEF"/>
    <w:rsid w:val="00D51DBE"/>
    <w:rsid w:val="00D52629"/>
    <w:rsid w:val="00D528DC"/>
    <w:rsid w:val="00D52BA4"/>
    <w:rsid w:val="00D5451C"/>
    <w:rsid w:val="00D54CA1"/>
    <w:rsid w:val="00D55024"/>
    <w:rsid w:val="00D55CD8"/>
    <w:rsid w:val="00D56236"/>
    <w:rsid w:val="00D56276"/>
    <w:rsid w:val="00D56FBD"/>
    <w:rsid w:val="00D572B7"/>
    <w:rsid w:val="00D578EA"/>
    <w:rsid w:val="00D57E50"/>
    <w:rsid w:val="00D60692"/>
    <w:rsid w:val="00D610F7"/>
    <w:rsid w:val="00D61339"/>
    <w:rsid w:val="00D61618"/>
    <w:rsid w:val="00D61C21"/>
    <w:rsid w:val="00D625CC"/>
    <w:rsid w:val="00D63406"/>
    <w:rsid w:val="00D63524"/>
    <w:rsid w:val="00D655EF"/>
    <w:rsid w:val="00D65D09"/>
    <w:rsid w:val="00D65EA3"/>
    <w:rsid w:val="00D660A5"/>
    <w:rsid w:val="00D66966"/>
    <w:rsid w:val="00D675E5"/>
    <w:rsid w:val="00D67719"/>
    <w:rsid w:val="00D67985"/>
    <w:rsid w:val="00D709B9"/>
    <w:rsid w:val="00D70BE5"/>
    <w:rsid w:val="00D710EE"/>
    <w:rsid w:val="00D711BC"/>
    <w:rsid w:val="00D713D1"/>
    <w:rsid w:val="00D71CB3"/>
    <w:rsid w:val="00D72013"/>
    <w:rsid w:val="00D721C8"/>
    <w:rsid w:val="00D732B8"/>
    <w:rsid w:val="00D7365A"/>
    <w:rsid w:val="00D738AB"/>
    <w:rsid w:val="00D75665"/>
    <w:rsid w:val="00D75A52"/>
    <w:rsid w:val="00D75A73"/>
    <w:rsid w:val="00D75B7D"/>
    <w:rsid w:val="00D75E64"/>
    <w:rsid w:val="00D76277"/>
    <w:rsid w:val="00D764AC"/>
    <w:rsid w:val="00D76EA0"/>
    <w:rsid w:val="00D77288"/>
    <w:rsid w:val="00D80CCE"/>
    <w:rsid w:val="00D80DDF"/>
    <w:rsid w:val="00D80DFD"/>
    <w:rsid w:val="00D80F4C"/>
    <w:rsid w:val="00D81583"/>
    <w:rsid w:val="00D81D22"/>
    <w:rsid w:val="00D82160"/>
    <w:rsid w:val="00D82393"/>
    <w:rsid w:val="00D829BF"/>
    <w:rsid w:val="00D82AC5"/>
    <w:rsid w:val="00D82D91"/>
    <w:rsid w:val="00D82E30"/>
    <w:rsid w:val="00D83269"/>
    <w:rsid w:val="00D85036"/>
    <w:rsid w:val="00D853A5"/>
    <w:rsid w:val="00D8544E"/>
    <w:rsid w:val="00D859DA"/>
    <w:rsid w:val="00D862C8"/>
    <w:rsid w:val="00D8643C"/>
    <w:rsid w:val="00D87258"/>
    <w:rsid w:val="00D874D4"/>
    <w:rsid w:val="00D903A7"/>
    <w:rsid w:val="00D905F2"/>
    <w:rsid w:val="00D9131C"/>
    <w:rsid w:val="00D91455"/>
    <w:rsid w:val="00D9178E"/>
    <w:rsid w:val="00D919C8"/>
    <w:rsid w:val="00D920C9"/>
    <w:rsid w:val="00D92548"/>
    <w:rsid w:val="00D92B05"/>
    <w:rsid w:val="00D92BC6"/>
    <w:rsid w:val="00D938C1"/>
    <w:rsid w:val="00D9460D"/>
    <w:rsid w:val="00D9474E"/>
    <w:rsid w:val="00D94A05"/>
    <w:rsid w:val="00D94CD9"/>
    <w:rsid w:val="00D9511D"/>
    <w:rsid w:val="00D9534B"/>
    <w:rsid w:val="00D95E71"/>
    <w:rsid w:val="00D96C9A"/>
    <w:rsid w:val="00D972A4"/>
    <w:rsid w:val="00D9750F"/>
    <w:rsid w:val="00D976C2"/>
    <w:rsid w:val="00D97A45"/>
    <w:rsid w:val="00DA06F0"/>
    <w:rsid w:val="00DA0B31"/>
    <w:rsid w:val="00DA151F"/>
    <w:rsid w:val="00DA179C"/>
    <w:rsid w:val="00DA19F3"/>
    <w:rsid w:val="00DA22E9"/>
    <w:rsid w:val="00DA28E3"/>
    <w:rsid w:val="00DA2F64"/>
    <w:rsid w:val="00DA4547"/>
    <w:rsid w:val="00DA48FD"/>
    <w:rsid w:val="00DA4953"/>
    <w:rsid w:val="00DA558C"/>
    <w:rsid w:val="00DA55CF"/>
    <w:rsid w:val="00DA629B"/>
    <w:rsid w:val="00DA75D3"/>
    <w:rsid w:val="00DA7B28"/>
    <w:rsid w:val="00DA7FD4"/>
    <w:rsid w:val="00DB00D4"/>
    <w:rsid w:val="00DB02CD"/>
    <w:rsid w:val="00DB0701"/>
    <w:rsid w:val="00DB0831"/>
    <w:rsid w:val="00DB0886"/>
    <w:rsid w:val="00DB0898"/>
    <w:rsid w:val="00DB0947"/>
    <w:rsid w:val="00DB0EE8"/>
    <w:rsid w:val="00DB0FB4"/>
    <w:rsid w:val="00DB224F"/>
    <w:rsid w:val="00DB247E"/>
    <w:rsid w:val="00DB2C41"/>
    <w:rsid w:val="00DB391F"/>
    <w:rsid w:val="00DB49CD"/>
    <w:rsid w:val="00DB5C3E"/>
    <w:rsid w:val="00DB5E60"/>
    <w:rsid w:val="00DB6297"/>
    <w:rsid w:val="00DB68E3"/>
    <w:rsid w:val="00DB6ADC"/>
    <w:rsid w:val="00DB6E6C"/>
    <w:rsid w:val="00DB7AE4"/>
    <w:rsid w:val="00DB7D32"/>
    <w:rsid w:val="00DC072C"/>
    <w:rsid w:val="00DC090E"/>
    <w:rsid w:val="00DC0AA6"/>
    <w:rsid w:val="00DC0AF4"/>
    <w:rsid w:val="00DC0DA8"/>
    <w:rsid w:val="00DC1A39"/>
    <w:rsid w:val="00DC1E3C"/>
    <w:rsid w:val="00DC201D"/>
    <w:rsid w:val="00DC249F"/>
    <w:rsid w:val="00DC2741"/>
    <w:rsid w:val="00DC29E3"/>
    <w:rsid w:val="00DC37AD"/>
    <w:rsid w:val="00DC3ECA"/>
    <w:rsid w:val="00DC41CC"/>
    <w:rsid w:val="00DC4541"/>
    <w:rsid w:val="00DC482A"/>
    <w:rsid w:val="00DC546F"/>
    <w:rsid w:val="00DC5E92"/>
    <w:rsid w:val="00DC64E3"/>
    <w:rsid w:val="00DC672A"/>
    <w:rsid w:val="00DC6F07"/>
    <w:rsid w:val="00DD01C3"/>
    <w:rsid w:val="00DD16C4"/>
    <w:rsid w:val="00DD1BF8"/>
    <w:rsid w:val="00DD1E1C"/>
    <w:rsid w:val="00DD22DF"/>
    <w:rsid w:val="00DD2601"/>
    <w:rsid w:val="00DD29ED"/>
    <w:rsid w:val="00DD2F8E"/>
    <w:rsid w:val="00DD380C"/>
    <w:rsid w:val="00DD3A9A"/>
    <w:rsid w:val="00DD4235"/>
    <w:rsid w:val="00DD4309"/>
    <w:rsid w:val="00DD4FAC"/>
    <w:rsid w:val="00DD5130"/>
    <w:rsid w:val="00DD54E4"/>
    <w:rsid w:val="00DD5B90"/>
    <w:rsid w:val="00DD5F66"/>
    <w:rsid w:val="00DD61D7"/>
    <w:rsid w:val="00DD62AB"/>
    <w:rsid w:val="00DD6336"/>
    <w:rsid w:val="00DD7432"/>
    <w:rsid w:val="00DD77F3"/>
    <w:rsid w:val="00DE1B16"/>
    <w:rsid w:val="00DE3B72"/>
    <w:rsid w:val="00DE3CA2"/>
    <w:rsid w:val="00DE4684"/>
    <w:rsid w:val="00DE46B2"/>
    <w:rsid w:val="00DE481B"/>
    <w:rsid w:val="00DE48F2"/>
    <w:rsid w:val="00DE4C44"/>
    <w:rsid w:val="00DE54C2"/>
    <w:rsid w:val="00DE5906"/>
    <w:rsid w:val="00DE5EA5"/>
    <w:rsid w:val="00DE614B"/>
    <w:rsid w:val="00DE63E3"/>
    <w:rsid w:val="00DE6E29"/>
    <w:rsid w:val="00DE6F28"/>
    <w:rsid w:val="00DE765B"/>
    <w:rsid w:val="00DE7874"/>
    <w:rsid w:val="00DF0897"/>
    <w:rsid w:val="00DF0A61"/>
    <w:rsid w:val="00DF0B7A"/>
    <w:rsid w:val="00DF0C4E"/>
    <w:rsid w:val="00DF0F2A"/>
    <w:rsid w:val="00DF132E"/>
    <w:rsid w:val="00DF1481"/>
    <w:rsid w:val="00DF14B8"/>
    <w:rsid w:val="00DF155E"/>
    <w:rsid w:val="00DF1C4C"/>
    <w:rsid w:val="00DF2684"/>
    <w:rsid w:val="00DF29DE"/>
    <w:rsid w:val="00DF2B3E"/>
    <w:rsid w:val="00DF2C6D"/>
    <w:rsid w:val="00DF3C66"/>
    <w:rsid w:val="00DF4816"/>
    <w:rsid w:val="00DF4826"/>
    <w:rsid w:val="00DF4B08"/>
    <w:rsid w:val="00DF5D47"/>
    <w:rsid w:val="00DF60F9"/>
    <w:rsid w:val="00DF6473"/>
    <w:rsid w:val="00DF697C"/>
    <w:rsid w:val="00DF701B"/>
    <w:rsid w:val="00DF7096"/>
    <w:rsid w:val="00DF78F2"/>
    <w:rsid w:val="00DF7F6A"/>
    <w:rsid w:val="00DF7F7D"/>
    <w:rsid w:val="00E0043E"/>
    <w:rsid w:val="00E0068A"/>
    <w:rsid w:val="00E00D14"/>
    <w:rsid w:val="00E01197"/>
    <w:rsid w:val="00E01214"/>
    <w:rsid w:val="00E02004"/>
    <w:rsid w:val="00E02529"/>
    <w:rsid w:val="00E0272E"/>
    <w:rsid w:val="00E0421D"/>
    <w:rsid w:val="00E046D7"/>
    <w:rsid w:val="00E05302"/>
    <w:rsid w:val="00E05B64"/>
    <w:rsid w:val="00E06262"/>
    <w:rsid w:val="00E0683E"/>
    <w:rsid w:val="00E07303"/>
    <w:rsid w:val="00E074BC"/>
    <w:rsid w:val="00E10399"/>
    <w:rsid w:val="00E104CC"/>
    <w:rsid w:val="00E10F68"/>
    <w:rsid w:val="00E10F70"/>
    <w:rsid w:val="00E1101B"/>
    <w:rsid w:val="00E11CE8"/>
    <w:rsid w:val="00E12442"/>
    <w:rsid w:val="00E12EBD"/>
    <w:rsid w:val="00E149B5"/>
    <w:rsid w:val="00E149E2"/>
    <w:rsid w:val="00E157F7"/>
    <w:rsid w:val="00E15A9F"/>
    <w:rsid w:val="00E166F7"/>
    <w:rsid w:val="00E16FCF"/>
    <w:rsid w:val="00E172BC"/>
    <w:rsid w:val="00E179DD"/>
    <w:rsid w:val="00E17E23"/>
    <w:rsid w:val="00E201C7"/>
    <w:rsid w:val="00E2027E"/>
    <w:rsid w:val="00E20B8F"/>
    <w:rsid w:val="00E20FEF"/>
    <w:rsid w:val="00E21286"/>
    <w:rsid w:val="00E21558"/>
    <w:rsid w:val="00E21D8E"/>
    <w:rsid w:val="00E2228A"/>
    <w:rsid w:val="00E22844"/>
    <w:rsid w:val="00E2292B"/>
    <w:rsid w:val="00E22B5C"/>
    <w:rsid w:val="00E23268"/>
    <w:rsid w:val="00E2348D"/>
    <w:rsid w:val="00E237C3"/>
    <w:rsid w:val="00E24739"/>
    <w:rsid w:val="00E24966"/>
    <w:rsid w:val="00E24C77"/>
    <w:rsid w:val="00E24D81"/>
    <w:rsid w:val="00E2654D"/>
    <w:rsid w:val="00E26DD1"/>
    <w:rsid w:val="00E2761C"/>
    <w:rsid w:val="00E27BA9"/>
    <w:rsid w:val="00E31911"/>
    <w:rsid w:val="00E333B3"/>
    <w:rsid w:val="00E33B84"/>
    <w:rsid w:val="00E33C55"/>
    <w:rsid w:val="00E33DC2"/>
    <w:rsid w:val="00E3488B"/>
    <w:rsid w:val="00E34E63"/>
    <w:rsid w:val="00E35FE6"/>
    <w:rsid w:val="00E37A4D"/>
    <w:rsid w:val="00E403CD"/>
    <w:rsid w:val="00E413DA"/>
    <w:rsid w:val="00E43387"/>
    <w:rsid w:val="00E43672"/>
    <w:rsid w:val="00E43AA7"/>
    <w:rsid w:val="00E4461D"/>
    <w:rsid w:val="00E46696"/>
    <w:rsid w:val="00E46A5B"/>
    <w:rsid w:val="00E46BDB"/>
    <w:rsid w:val="00E50137"/>
    <w:rsid w:val="00E502A0"/>
    <w:rsid w:val="00E50B1B"/>
    <w:rsid w:val="00E5125C"/>
    <w:rsid w:val="00E51C0A"/>
    <w:rsid w:val="00E537A3"/>
    <w:rsid w:val="00E53945"/>
    <w:rsid w:val="00E53BD0"/>
    <w:rsid w:val="00E544CF"/>
    <w:rsid w:val="00E5497C"/>
    <w:rsid w:val="00E54E10"/>
    <w:rsid w:val="00E5507E"/>
    <w:rsid w:val="00E55153"/>
    <w:rsid w:val="00E5565C"/>
    <w:rsid w:val="00E55DDB"/>
    <w:rsid w:val="00E5650B"/>
    <w:rsid w:val="00E570CF"/>
    <w:rsid w:val="00E573D0"/>
    <w:rsid w:val="00E5745D"/>
    <w:rsid w:val="00E57CBA"/>
    <w:rsid w:val="00E6001C"/>
    <w:rsid w:val="00E60153"/>
    <w:rsid w:val="00E6032D"/>
    <w:rsid w:val="00E6051B"/>
    <w:rsid w:val="00E60CB3"/>
    <w:rsid w:val="00E6189A"/>
    <w:rsid w:val="00E61F85"/>
    <w:rsid w:val="00E62296"/>
    <w:rsid w:val="00E62660"/>
    <w:rsid w:val="00E62748"/>
    <w:rsid w:val="00E62B8E"/>
    <w:rsid w:val="00E62EBE"/>
    <w:rsid w:val="00E63338"/>
    <w:rsid w:val="00E633E7"/>
    <w:rsid w:val="00E635F8"/>
    <w:rsid w:val="00E637D5"/>
    <w:rsid w:val="00E6397F"/>
    <w:rsid w:val="00E63A96"/>
    <w:rsid w:val="00E660E5"/>
    <w:rsid w:val="00E66215"/>
    <w:rsid w:val="00E66A33"/>
    <w:rsid w:val="00E67377"/>
    <w:rsid w:val="00E6774A"/>
    <w:rsid w:val="00E67989"/>
    <w:rsid w:val="00E70B9A"/>
    <w:rsid w:val="00E72C26"/>
    <w:rsid w:val="00E72F19"/>
    <w:rsid w:val="00E73722"/>
    <w:rsid w:val="00E73E05"/>
    <w:rsid w:val="00E740A6"/>
    <w:rsid w:val="00E74B0E"/>
    <w:rsid w:val="00E763DE"/>
    <w:rsid w:val="00E769FD"/>
    <w:rsid w:val="00E774B7"/>
    <w:rsid w:val="00E776EB"/>
    <w:rsid w:val="00E815E3"/>
    <w:rsid w:val="00E82793"/>
    <w:rsid w:val="00E83012"/>
    <w:rsid w:val="00E83625"/>
    <w:rsid w:val="00E84A75"/>
    <w:rsid w:val="00E86C78"/>
    <w:rsid w:val="00E874A9"/>
    <w:rsid w:val="00E903E1"/>
    <w:rsid w:val="00E90D14"/>
    <w:rsid w:val="00E91113"/>
    <w:rsid w:val="00E916FD"/>
    <w:rsid w:val="00E91BA7"/>
    <w:rsid w:val="00E91E39"/>
    <w:rsid w:val="00E9269F"/>
    <w:rsid w:val="00E92B61"/>
    <w:rsid w:val="00E9313E"/>
    <w:rsid w:val="00E93AC3"/>
    <w:rsid w:val="00E93CF9"/>
    <w:rsid w:val="00E943BB"/>
    <w:rsid w:val="00E94D0C"/>
    <w:rsid w:val="00E960B0"/>
    <w:rsid w:val="00E96C39"/>
    <w:rsid w:val="00EA0B3F"/>
    <w:rsid w:val="00EA0B50"/>
    <w:rsid w:val="00EA0CB3"/>
    <w:rsid w:val="00EA0D52"/>
    <w:rsid w:val="00EA1286"/>
    <w:rsid w:val="00EA234A"/>
    <w:rsid w:val="00EA23C0"/>
    <w:rsid w:val="00EA24D0"/>
    <w:rsid w:val="00EA2C54"/>
    <w:rsid w:val="00EA2E77"/>
    <w:rsid w:val="00EA3122"/>
    <w:rsid w:val="00EA38E9"/>
    <w:rsid w:val="00EA3B1D"/>
    <w:rsid w:val="00EA3F08"/>
    <w:rsid w:val="00EA48D5"/>
    <w:rsid w:val="00EA4C6B"/>
    <w:rsid w:val="00EA551F"/>
    <w:rsid w:val="00EA63B7"/>
    <w:rsid w:val="00EA68C1"/>
    <w:rsid w:val="00EA6BD4"/>
    <w:rsid w:val="00EA74BA"/>
    <w:rsid w:val="00EA7C87"/>
    <w:rsid w:val="00EB02B7"/>
    <w:rsid w:val="00EB0CF6"/>
    <w:rsid w:val="00EB284D"/>
    <w:rsid w:val="00EB42D7"/>
    <w:rsid w:val="00EB4454"/>
    <w:rsid w:val="00EB4699"/>
    <w:rsid w:val="00EB4E63"/>
    <w:rsid w:val="00EB4F89"/>
    <w:rsid w:val="00EB65C0"/>
    <w:rsid w:val="00EB6993"/>
    <w:rsid w:val="00EB6C77"/>
    <w:rsid w:val="00EB6F5B"/>
    <w:rsid w:val="00EB78A2"/>
    <w:rsid w:val="00EC07A6"/>
    <w:rsid w:val="00EC2766"/>
    <w:rsid w:val="00EC2E14"/>
    <w:rsid w:val="00EC31E4"/>
    <w:rsid w:val="00EC33CF"/>
    <w:rsid w:val="00EC3C77"/>
    <w:rsid w:val="00EC43E3"/>
    <w:rsid w:val="00EC57AB"/>
    <w:rsid w:val="00EC63F5"/>
    <w:rsid w:val="00EC681C"/>
    <w:rsid w:val="00EC6941"/>
    <w:rsid w:val="00EC6B97"/>
    <w:rsid w:val="00EC6CD7"/>
    <w:rsid w:val="00EC728C"/>
    <w:rsid w:val="00ED0BF5"/>
    <w:rsid w:val="00ED103F"/>
    <w:rsid w:val="00ED1777"/>
    <w:rsid w:val="00ED1806"/>
    <w:rsid w:val="00ED2D11"/>
    <w:rsid w:val="00ED30FA"/>
    <w:rsid w:val="00ED35C1"/>
    <w:rsid w:val="00ED3B32"/>
    <w:rsid w:val="00ED43FB"/>
    <w:rsid w:val="00ED5630"/>
    <w:rsid w:val="00ED5982"/>
    <w:rsid w:val="00ED5D9C"/>
    <w:rsid w:val="00ED6832"/>
    <w:rsid w:val="00ED6CE4"/>
    <w:rsid w:val="00ED704D"/>
    <w:rsid w:val="00EE0BF4"/>
    <w:rsid w:val="00EE0DE0"/>
    <w:rsid w:val="00EE0FC2"/>
    <w:rsid w:val="00EE12AA"/>
    <w:rsid w:val="00EE16C6"/>
    <w:rsid w:val="00EE23CD"/>
    <w:rsid w:val="00EE2EDA"/>
    <w:rsid w:val="00EE3424"/>
    <w:rsid w:val="00EE3493"/>
    <w:rsid w:val="00EE45D1"/>
    <w:rsid w:val="00EE464F"/>
    <w:rsid w:val="00EE610F"/>
    <w:rsid w:val="00EE6B28"/>
    <w:rsid w:val="00EE6D02"/>
    <w:rsid w:val="00EE6DB6"/>
    <w:rsid w:val="00EE78F0"/>
    <w:rsid w:val="00EE7F68"/>
    <w:rsid w:val="00EF0578"/>
    <w:rsid w:val="00EF0657"/>
    <w:rsid w:val="00EF0C49"/>
    <w:rsid w:val="00EF1E14"/>
    <w:rsid w:val="00EF26D1"/>
    <w:rsid w:val="00EF2993"/>
    <w:rsid w:val="00EF2B49"/>
    <w:rsid w:val="00EF347D"/>
    <w:rsid w:val="00EF389A"/>
    <w:rsid w:val="00EF3B8C"/>
    <w:rsid w:val="00EF3CCE"/>
    <w:rsid w:val="00EF3D01"/>
    <w:rsid w:val="00EF4625"/>
    <w:rsid w:val="00EF482A"/>
    <w:rsid w:val="00EF5557"/>
    <w:rsid w:val="00EF583D"/>
    <w:rsid w:val="00EF6431"/>
    <w:rsid w:val="00EF6A30"/>
    <w:rsid w:val="00EF741A"/>
    <w:rsid w:val="00EF7CDB"/>
    <w:rsid w:val="00F00232"/>
    <w:rsid w:val="00F00A44"/>
    <w:rsid w:val="00F00AB4"/>
    <w:rsid w:val="00F00F47"/>
    <w:rsid w:val="00F01BB1"/>
    <w:rsid w:val="00F02BC9"/>
    <w:rsid w:val="00F0362D"/>
    <w:rsid w:val="00F060BD"/>
    <w:rsid w:val="00F072A9"/>
    <w:rsid w:val="00F10103"/>
    <w:rsid w:val="00F1051F"/>
    <w:rsid w:val="00F10D3F"/>
    <w:rsid w:val="00F11088"/>
    <w:rsid w:val="00F11206"/>
    <w:rsid w:val="00F113D2"/>
    <w:rsid w:val="00F11899"/>
    <w:rsid w:val="00F11E70"/>
    <w:rsid w:val="00F12557"/>
    <w:rsid w:val="00F12C12"/>
    <w:rsid w:val="00F14639"/>
    <w:rsid w:val="00F156F0"/>
    <w:rsid w:val="00F15A7B"/>
    <w:rsid w:val="00F1640A"/>
    <w:rsid w:val="00F1653C"/>
    <w:rsid w:val="00F16838"/>
    <w:rsid w:val="00F16C31"/>
    <w:rsid w:val="00F1786F"/>
    <w:rsid w:val="00F17DAF"/>
    <w:rsid w:val="00F20B63"/>
    <w:rsid w:val="00F20E14"/>
    <w:rsid w:val="00F210E5"/>
    <w:rsid w:val="00F21FF4"/>
    <w:rsid w:val="00F22C5B"/>
    <w:rsid w:val="00F230C1"/>
    <w:rsid w:val="00F2390F"/>
    <w:rsid w:val="00F23EDF"/>
    <w:rsid w:val="00F2413A"/>
    <w:rsid w:val="00F2461E"/>
    <w:rsid w:val="00F246C7"/>
    <w:rsid w:val="00F25068"/>
    <w:rsid w:val="00F25D27"/>
    <w:rsid w:val="00F25DDF"/>
    <w:rsid w:val="00F25E65"/>
    <w:rsid w:val="00F25EAD"/>
    <w:rsid w:val="00F26A16"/>
    <w:rsid w:val="00F300E9"/>
    <w:rsid w:val="00F301A7"/>
    <w:rsid w:val="00F30F88"/>
    <w:rsid w:val="00F31345"/>
    <w:rsid w:val="00F32283"/>
    <w:rsid w:val="00F32771"/>
    <w:rsid w:val="00F33BC6"/>
    <w:rsid w:val="00F33F88"/>
    <w:rsid w:val="00F340DA"/>
    <w:rsid w:val="00F3413B"/>
    <w:rsid w:val="00F342B5"/>
    <w:rsid w:val="00F3445D"/>
    <w:rsid w:val="00F34964"/>
    <w:rsid w:val="00F35A44"/>
    <w:rsid w:val="00F35F6D"/>
    <w:rsid w:val="00F36608"/>
    <w:rsid w:val="00F3714A"/>
    <w:rsid w:val="00F37C5D"/>
    <w:rsid w:val="00F37DB6"/>
    <w:rsid w:val="00F37E70"/>
    <w:rsid w:val="00F40930"/>
    <w:rsid w:val="00F426E1"/>
    <w:rsid w:val="00F42F2C"/>
    <w:rsid w:val="00F4480C"/>
    <w:rsid w:val="00F44D6D"/>
    <w:rsid w:val="00F4559A"/>
    <w:rsid w:val="00F4593F"/>
    <w:rsid w:val="00F47547"/>
    <w:rsid w:val="00F47AFF"/>
    <w:rsid w:val="00F5052A"/>
    <w:rsid w:val="00F51497"/>
    <w:rsid w:val="00F52109"/>
    <w:rsid w:val="00F5421D"/>
    <w:rsid w:val="00F5432F"/>
    <w:rsid w:val="00F55C00"/>
    <w:rsid w:val="00F56824"/>
    <w:rsid w:val="00F57651"/>
    <w:rsid w:val="00F60ED8"/>
    <w:rsid w:val="00F61501"/>
    <w:rsid w:val="00F61E8B"/>
    <w:rsid w:val="00F6246A"/>
    <w:rsid w:val="00F62BFC"/>
    <w:rsid w:val="00F62F1A"/>
    <w:rsid w:val="00F6302C"/>
    <w:rsid w:val="00F63252"/>
    <w:rsid w:val="00F64754"/>
    <w:rsid w:val="00F6487D"/>
    <w:rsid w:val="00F67B16"/>
    <w:rsid w:val="00F67C36"/>
    <w:rsid w:val="00F70007"/>
    <w:rsid w:val="00F72611"/>
    <w:rsid w:val="00F72F08"/>
    <w:rsid w:val="00F72FA7"/>
    <w:rsid w:val="00F7309E"/>
    <w:rsid w:val="00F73360"/>
    <w:rsid w:val="00F734DF"/>
    <w:rsid w:val="00F73595"/>
    <w:rsid w:val="00F7378A"/>
    <w:rsid w:val="00F7408E"/>
    <w:rsid w:val="00F740D4"/>
    <w:rsid w:val="00F74199"/>
    <w:rsid w:val="00F7486D"/>
    <w:rsid w:val="00F74A51"/>
    <w:rsid w:val="00F76334"/>
    <w:rsid w:val="00F768AA"/>
    <w:rsid w:val="00F76A0C"/>
    <w:rsid w:val="00F7716A"/>
    <w:rsid w:val="00F77208"/>
    <w:rsid w:val="00F77EC3"/>
    <w:rsid w:val="00F80954"/>
    <w:rsid w:val="00F816C4"/>
    <w:rsid w:val="00F826F6"/>
    <w:rsid w:val="00F8328E"/>
    <w:rsid w:val="00F83536"/>
    <w:rsid w:val="00F8374E"/>
    <w:rsid w:val="00F84D1E"/>
    <w:rsid w:val="00F850AE"/>
    <w:rsid w:val="00F8592E"/>
    <w:rsid w:val="00F86AAE"/>
    <w:rsid w:val="00F86CC8"/>
    <w:rsid w:val="00F870C4"/>
    <w:rsid w:val="00F87994"/>
    <w:rsid w:val="00F87D6A"/>
    <w:rsid w:val="00F87DDE"/>
    <w:rsid w:val="00F90254"/>
    <w:rsid w:val="00F90477"/>
    <w:rsid w:val="00F91326"/>
    <w:rsid w:val="00F92698"/>
    <w:rsid w:val="00F928F9"/>
    <w:rsid w:val="00F92E8A"/>
    <w:rsid w:val="00F93AD0"/>
    <w:rsid w:val="00F93CF4"/>
    <w:rsid w:val="00F95589"/>
    <w:rsid w:val="00F962D2"/>
    <w:rsid w:val="00F96C5F"/>
    <w:rsid w:val="00FA09D2"/>
    <w:rsid w:val="00FA0AE8"/>
    <w:rsid w:val="00FA1267"/>
    <w:rsid w:val="00FA1EFA"/>
    <w:rsid w:val="00FA2CA8"/>
    <w:rsid w:val="00FA3668"/>
    <w:rsid w:val="00FA3934"/>
    <w:rsid w:val="00FA4DA7"/>
    <w:rsid w:val="00FA4DCA"/>
    <w:rsid w:val="00FA5459"/>
    <w:rsid w:val="00FA5B2D"/>
    <w:rsid w:val="00FA66D8"/>
    <w:rsid w:val="00FA6F87"/>
    <w:rsid w:val="00FA7CBE"/>
    <w:rsid w:val="00FA7EEF"/>
    <w:rsid w:val="00FB012C"/>
    <w:rsid w:val="00FB356E"/>
    <w:rsid w:val="00FB4504"/>
    <w:rsid w:val="00FB4C05"/>
    <w:rsid w:val="00FB4D03"/>
    <w:rsid w:val="00FB53D1"/>
    <w:rsid w:val="00FB5C42"/>
    <w:rsid w:val="00FB6223"/>
    <w:rsid w:val="00FB622C"/>
    <w:rsid w:val="00FB6241"/>
    <w:rsid w:val="00FB6392"/>
    <w:rsid w:val="00FB6CAC"/>
    <w:rsid w:val="00FC060E"/>
    <w:rsid w:val="00FC0DDE"/>
    <w:rsid w:val="00FC1A97"/>
    <w:rsid w:val="00FC217B"/>
    <w:rsid w:val="00FC2325"/>
    <w:rsid w:val="00FC3BB7"/>
    <w:rsid w:val="00FC3E20"/>
    <w:rsid w:val="00FC5B55"/>
    <w:rsid w:val="00FC6BB2"/>
    <w:rsid w:val="00FC6E0F"/>
    <w:rsid w:val="00FC78DA"/>
    <w:rsid w:val="00FC7CE1"/>
    <w:rsid w:val="00FD1584"/>
    <w:rsid w:val="00FD17F6"/>
    <w:rsid w:val="00FD264C"/>
    <w:rsid w:val="00FD2A14"/>
    <w:rsid w:val="00FD2D78"/>
    <w:rsid w:val="00FD2F8B"/>
    <w:rsid w:val="00FD3335"/>
    <w:rsid w:val="00FD37C7"/>
    <w:rsid w:val="00FD5043"/>
    <w:rsid w:val="00FD515C"/>
    <w:rsid w:val="00FD52D4"/>
    <w:rsid w:val="00FD538D"/>
    <w:rsid w:val="00FD53F8"/>
    <w:rsid w:val="00FD568D"/>
    <w:rsid w:val="00FD6B32"/>
    <w:rsid w:val="00FD71FA"/>
    <w:rsid w:val="00FD79DE"/>
    <w:rsid w:val="00FD7EA7"/>
    <w:rsid w:val="00FE07E2"/>
    <w:rsid w:val="00FE0E23"/>
    <w:rsid w:val="00FE1C39"/>
    <w:rsid w:val="00FE263B"/>
    <w:rsid w:val="00FE4394"/>
    <w:rsid w:val="00FE5B23"/>
    <w:rsid w:val="00FE6190"/>
    <w:rsid w:val="00FE7503"/>
    <w:rsid w:val="00FE762E"/>
    <w:rsid w:val="00FE76E6"/>
    <w:rsid w:val="00FE7E49"/>
    <w:rsid w:val="00FF0BEF"/>
    <w:rsid w:val="00FF149C"/>
    <w:rsid w:val="00FF18A3"/>
    <w:rsid w:val="00FF28EB"/>
    <w:rsid w:val="00FF435C"/>
    <w:rsid w:val="00FF4608"/>
    <w:rsid w:val="00FF52E3"/>
    <w:rsid w:val="00FF550A"/>
    <w:rsid w:val="00FF5A55"/>
    <w:rsid w:val="00FF5F36"/>
    <w:rsid w:val="00FF612E"/>
    <w:rsid w:val="00FF6D27"/>
    <w:rsid w:val="00FF6FF6"/>
    <w:rsid w:val="00FF75D8"/>
    <w:rsid w:val="00FF7DB9"/>
    <w:rsid w:val="75828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58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8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
    <w:name w:val="Mention"/>
    <w:basedOn w:val="DefaultParagraphFont"/>
    <w:uiPriority w:val="99"/>
    <w:semiHidden/>
    <w:unhideWhenUsed/>
    <w:rsid w:val="008F07FF"/>
    <w:rPr>
      <w:color w:val="2B579A"/>
      <w:shd w:val="clear" w:color="auto" w:fill="E6E6E6"/>
    </w:rPr>
  </w:style>
  <w:style w:type="character" w:customStyle="1" w:styleId="UnresolvedMention">
    <w:name w:val="Unresolved Mention"/>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2097088038">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161050463">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 w:id="1283461446">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1473984383">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305939719">
          <w:marLeft w:val="0"/>
          <w:marRight w:val="0"/>
          <w:marTop w:val="0"/>
          <w:marBottom w:val="0"/>
          <w:divBdr>
            <w:top w:val="none" w:sz="0" w:space="0" w:color="auto"/>
            <w:left w:val="none" w:sz="0" w:space="0" w:color="auto"/>
            <w:bottom w:val="none" w:sz="0" w:space="0" w:color="auto"/>
            <w:right w:val="none" w:sz="0" w:space="0" w:color="auto"/>
          </w:divBdr>
        </w:div>
      </w:divsChild>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369187647">
          <w:marLeft w:val="0"/>
          <w:marRight w:val="0"/>
          <w:marTop w:val="0"/>
          <w:marBottom w:val="0"/>
          <w:divBdr>
            <w:top w:val="none" w:sz="0" w:space="0" w:color="auto"/>
            <w:left w:val="none" w:sz="0" w:space="0" w:color="auto"/>
            <w:bottom w:val="none" w:sz="0" w:space="0" w:color="auto"/>
            <w:right w:val="none" w:sz="0" w:space="0" w:color="auto"/>
          </w:divBdr>
        </w:div>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 w:id="259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190402051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699939843">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733968746">
          <w:marLeft w:val="0"/>
          <w:marRight w:val="0"/>
          <w:marTop w:val="0"/>
          <w:marBottom w:val="0"/>
          <w:divBdr>
            <w:top w:val="none" w:sz="0" w:space="0" w:color="auto"/>
            <w:left w:val="none" w:sz="0" w:space="0" w:color="auto"/>
            <w:bottom w:val="none" w:sz="0" w:space="0" w:color="auto"/>
            <w:right w:val="none" w:sz="0" w:space="0" w:color="auto"/>
          </w:divBdr>
        </w:div>
        <w:div w:id="105121618">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658461289">
          <w:marLeft w:val="0"/>
          <w:marRight w:val="0"/>
          <w:marTop w:val="0"/>
          <w:marBottom w:val="0"/>
          <w:divBdr>
            <w:top w:val="none" w:sz="0" w:space="0" w:color="auto"/>
            <w:left w:val="none" w:sz="0" w:space="0" w:color="auto"/>
            <w:bottom w:val="none" w:sz="0" w:space="0" w:color="auto"/>
            <w:right w:val="none" w:sz="0" w:space="0" w:color="auto"/>
          </w:divBdr>
        </w:div>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 w:id="1657762987">
          <w:marLeft w:val="0"/>
          <w:marRight w:val="0"/>
          <w:marTop w:val="0"/>
          <w:marBottom w:val="0"/>
          <w:divBdr>
            <w:top w:val="none" w:sz="0" w:space="0" w:color="auto"/>
            <w:left w:val="none" w:sz="0" w:space="0" w:color="auto"/>
            <w:bottom w:val="none" w:sz="0" w:space="0" w:color="auto"/>
            <w:right w:val="none" w:sz="0" w:space="0" w:color="auto"/>
          </w:divBdr>
        </w:div>
      </w:divsChild>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na-dsb.com/technology-advisory-committee/" TargetMode="External"/><Relationship Id="rId18" Type="http://schemas.openxmlformats.org/officeDocument/2006/relationships/footer" Target="footer2.xml"/><Relationship Id="rId26" Type="http://schemas.openxmlformats.org/officeDocument/2006/relationships/hyperlink" Target="https://www.anna-dsb.com/download/dsb-final-consultation-report/"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anna-dsb.com/product-committee/" TargetMode="External"/><Relationship Id="rId17" Type="http://schemas.openxmlformats.org/officeDocument/2006/relationships/header" Target="header2.xml"/><Relationship Id="rId25" Type="http://schemas.openxmlformats.org/officeDocument/2006/relationships/hyperlink" Target="https://www.anna-dsb.com/download/dsb-service-level-policy_v3_2019_fin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s://anna-dsb-events.webex.com/anna-dsb-events/onstage/g.php?MTID=ec071889618c3b9992bfdbc850cf40e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dsb.com/2020-user-fee-and-user-agreement-consultations/" TargetMode="External"/><Relationship Id="rId24" Type="http://schemas.openxmlformats.org/officeDocument/2006/relationships/hyperlink" Target="https://www.anna-dsb.com/download/2019-06-17-notification-ir-term-of-contract-rts-23-field-41-additional-rates-derivatives-enhancements-uat-prod-updated/"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nna-dsb.com/change_request_process/" TargetMode="External"/><Relationship Id="rId28" Type="http://schemas.openxmlformats.org/officeDocument/2006/relationships/hyperlink" Target="mailto:industry_consultation@anna-dsb.com" TargetMode="External"/><Relationship Id="rId10" Type="http://schemas.openxmlformats.org/officeDocument/2006/relationships/hyperlink" Target="https://www.anna-dsb.com/2020-user-fee-and-user-agreement-consultations/" TargetMode="External"/><Relationship Id="rId19" Type="http://schemas.openxmlformats.org/officeDocument/2006/relationships/hyperlink" Target="https://anna-dsb-events.webex.com/anna-dsb-events/onstage/g.php?MTID=ec071889618c3b9992bfdbc850cf40e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a-dsb.com/2020-user-fee-and-user-agreement-consultations/" TargetMode="External"/><Relationship Id="rId14" Type="http://schemas.openxmlformats.org/officeDocument/2006/relationships/hyperlink" Target="mailto:industry_consultation@anna-dsb.com" TargetMode="External"/><Relationship Id="rId22" Type="http://schemas.openxmlformats.org/officeDocument/2006/relationships/hyperlink" Target="http://www.anna-web.org/dsb-product-committee/" TargetMode="External"/><Relationship Id="rId27" Type="http://schemas.openxmlformats.org/officeDocument/2006/relationships/hyperlink" Target="mailto:secretariat@ANNA-DSB.com" TargetMode="External"/><Relationship Id="rId30" Type="http://schemas.openxmlformats.org/officeDocument/2006/relationships/hyperlink" Target="mailto:industry_consultation@anna-dsb.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nna-dsb.com/financial-accounts/" TargetMode="External"/><Relationship Id="rId3" Type="http://schemas.openxmlformats.org/officeDocument/2006/relationships/hyperlink" Target="https://www.anna-dsb.com/download/dsb-service-level-policy_v3_2019_final/" TargetMode="External"/><Relationship Id="rId7" Type="http://schemas.openxmlformats.org/officeDocument/2006/relationships/hyperlink" Target="https://www.anna-dsb.com/download/dsb-final-consultation-report/" TargetMode="External"/><Relationship Id="rId2" Type="http://schemas.openxmlformats.org/officeDocument/2006/relationships/hyperlink" Target="https://www.anna-dsb.com/2020-user-fee-and-user-agreement-consultations/" TargetMode="External"/><Relationship Id="rId1" Type="http://schemas.openxmlformats.org/officeDocument/2006/relationships/hyperlink" Target="https://www.fsb.org/2019/05/fsb-designates-dsb-as-unique-product-identifier-upi-service-provider/" TargetMode="External"/><Relationship Id="rId6" Type="http://schemas.openxmlformats.org/officeDocument/2006/relationships/hyperlink" Target="https://www.fsb.org/wp-content/uploads/P131017-2.pdf" TargetMode="External"/><Relationship Id="rId11" Type="http://schemas.openxmlformats.org/officeDocument/2006/relationships/hyperlink" Target="https://www.anna-dsb.com/download/dsb-charges-policy_v3-1_2019_final/" TargetMode="External"/><Relationship Id="rId5" Type="http://schemas.openxmlformats.org/officeDocument/2006/relationships/hyperlink" Target="https://www.iso.org/obp/ui/EN/" TargetMode="External"/><Relationship Id="rId10" Type="http://schemas.openxmlformats.org/officeDocument/2006/relationships/hyperlink" Target="https://www.anna-dsb.com/fee-model-variables/" TargetMode="External"/><Relationship Id="rId4" Type="http://schemas.openxmlformats.org/officeDocument/2006/relationships/hyperlink" Target="https://www.anna-dsb.com/2020-user-fee-and-user-agreement-consultations/" TargetMode="External"/><Relationship Id="rId9" Type="http://schemas.openxmlformats.org/officeDocument/2006/relationships/hyperlink" Target="https://www.anna-dsb.com/download/dsb-charges-policy_v3-1_2019_fi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6A9CCDAA94D9EB59667E6BE138651"/>
        <w:category>
          <w:name w:val="General"/>
          <w:gallery w:val="placeholder"/>
        </w:category>
        <w:types>
          <w:type w:val="bbPlcHdr"/>
        </w:types>
        <w:behaviors>
          <w:behavior w:val="content"/>
        </w:behaviors>
        <w:guid w:val="{9577BD2C-F614-436C-828B-3E0F876CD272}"/>
      </w:docPartPr>
      <w:docPartBody>
        <w:p w:rsidR="00364EB1" w:rsidRDefault="00364EB1" w:rsidP="00364EB1">
          <w:pPr>
            <w:pStyle w:val="DE46A9CCDAA94D9EB59667E6BE138651"/>
          </w:pPr>
          <w:r>
            <w:rPr>
              <w:rFonts w:eastAsiaTheme="minorHAnsi"/>
            </w:rPr>
            <w:t>Select Type</w:t>
          </w:r>
        </w:p>
      </w:docPartBody>
    </w:docPart>
    <w:docPart>
      <w:docPartPr>
        <w:name w:val="0E46ACF691C24CFBB7C89E04A0636ADE"/>
        <w:category>
          <w:name w:val="General"/>
          <w:gallery w:val="placeholder"/>
        </w:category>
        <w:types>
          <w:type w:val="bbPlcHdr"/>
        </w:types>
        <w:behaviors>
          <w:behavior w:val="content"/>
        </w:behaviors>
        <w:guid w:val="{A0EFB2EC-BC4B-49AD-A804-4BC69BFE7AB9}"/>
      </w:docPartPr>
      <w:docPartBody>
        <w:p w:rsidR="00364EB1" w:rsidRDefault="00364EB1" w:rsidP="00364EB1">
          <w:pPr>
            <w:pStyle w:val="0E46ACF691C24CFBB7C89E04A0636ADE"/>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B1"/>
    <w:rsid w:val="00034067"/>
    <w:rsid w:val="00052C06"/>
    <w:rsid w:val="00216288"/>
    <w:rsid w:val="002971F2"/>
    <w:rsid w:val="002B238A"/>
    <w:rsid w:val="00364EB1"/>
    <w:rsid w:val="00477BB2"/>
    <w:rsid w:val="004F145C"/>
    <w:rsid w:val="00770CC1"/>
    <w:rsid w:val="008651BC"/>
    <w:rsid w:val="00906B37"/>
    <w:rsid w:val="009144A4"/>
    <w:rsid w:val="00AA1F74"/>
    <w:rsid w:val="00B74A55"/>
    <w:rsid w:val="00DA7824"/>
    <w:rsid w:val="00E37267"/>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6A9CCDAA94D9EB59667E6BE138651">
    <w:name w:val="DE46A9CCDAA94D9EB59667E6BE138651"/>
    <w:rsid w:val="00364EB1"/>
  </w:style>
  <w:style w:type="paragraph" w:customStyle="1" w:styleId="0E46ACF691C24CFBB7C89E04A0636ADE">
    <w:name w:val="0E46ACF691C24CFBB7C89E04A0636ADE"/>
    <w:rsid w:val="00364EB1"/>
  </w:style>
  <w:style w:type="paragraph" w:customStyle="1" w:styleId="B726EBE26A454E40837740A25B28CEDF">
    <w:name w:val="B726EBE26A454E40837740A25B28CEDF"/>
    <w:rsid w:val="00364EB1"/>
  </w:style>
  <w:style w:type="paragraph" w:customStyle="1" w:styleId="7DDCE08374C547A1A90F57AAE086AFCF">
    <w:name w:val="7DDCE08374C547A1A90F57AAE086AFCF"/>
    <w:rsid w:val="00364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2A57-F038-42E5-B876-DC8FEA88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14632</Words>
  <Characters>83409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2019-07-05T06:26:00Z</dcterms:created>
  <dcterms:modified xsi:type="dcterms:W3CDTF">2019-07-05T06:28:00Z</dcterms:modified>
</cp:coreProperties>
</file>